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tbl>
      <w:tblPr/>
      <w:tblGrid>
        <w:gridCol w:w="3947"/>
        <w:gridCol w:w="1497"/>
        <w:gridCol w:w="3949"/>
      </w:tblGrid>
      <w:tr>
        <w:trPr>
          <w:trHeight w:val="350" w:hRule="auto"/>
          <w:jc w:val="left"/>
        </w:trPr>
        <w:tc>
          <w:tcPr>
            <w:tcW w:w="9393" w:type="dxa"/>
            <w:gridSpan w:val="3"/>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IN THE CIRCUIT COURT OF </w:t>
            </w:r>
            <w:r>
              <w:rPr>
                <w:rFonts w:ascii="Times New Roman" w:hAnsi="Times New Roman" w:cs="Times New Roman" w:eastAsia="Times New Roman"/>
                <w:b/>
                <w:color w:val="auto"/>
                <w:spacing w:val="0"/>
                <w:position w:val="0"/>
                <w:sz w:val="24"/>
                <w:shd w:fill="FFFF00" w:val="clear"/>
              </w:rPr>
              <w:t xml:space="preserve">SCOTT</w:t>
            </w:r>
            <w:r>
              <w:rPr>
                <w:rFonts w:ascii="Times New Roman" w:hAnsi="Times New Roman" w:cs="Times New Roman" w:eastAsia="Times New Roman"/>
                <w:b/>
                <w:color w:val="auto"/>
                <w:spacing w:val="0"/>
                <w:position w:val="0"/>
                <w:sz w:val="24"/>
                <w:shd w:fill="auto" w:val="clear"/>
              </w:rPr>
              <w:t xml:space="preserve">, MISSOURI</w:t>
            </w: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5" w:hRule="auto"/>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STATE OF MISSOURI</w:t>
            </w: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SS.  Case No._____________</w:t>
            </w: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COUNTY OF </w:t>
            </w:r>
            <w:r>
              <w:rPr>
                <w:rFonts w:ascii="Times New Roman" w:hAnsi="Times New Roman" w:cs="Times New Roman" w:eastAsia="Times New Roman"/>
                <w:color w:val="auto"/>
                <w:spacing w:val="0"/>
                <w:position w:val="0"/>
                <w:sz w:val="24"/>
                <w:shd w:fill="FFFF00" w:val="clear"/>
              </w:rPr>
              <w:t xml:space="preserve">SCOTT</w:t>
            </w: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562" w:hRule="auto"/>
          <w:jc w:val="left"/>
        </w:trPr>
        <w:tc>
          <w:tcPr>
            <w:tcW w:w="9393" w:type="dxa"/>
            <w:gridSpan w:val="3"/>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AFFIDAVIT &amp; APPLICATION FOR SEARCH WARRANT</w:t>
            </w:r>
          </w:p>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MOBILE DEVICES</w:t>
            </w: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bl>
    <w:p>
      <w:pPr>
        <w:spacing w:before="0" w:after="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Background and Information</w:t>
      </w:r>
    </w:p>
    <w:p>
      <w:pPr>
        <w:numPr>
          <w:ilvl w:val="0"/>
          <w:numId w:val="2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w:t>
      </w:r>
      <w:r>
        <w:rPr>
          <w:rFonts w:ascii="Times New Roman" w:hAnsi="Times New Roman" w:cs="Times New Roman" w:eastAsia="Times New Roman"/>
          <w:color w:val="auto"/>
          <w:spacing w:val="0"/>
          <w:position w:val="0"/>
          <w:sz w:val="24"/>
          <w:shd w:fill="FFFF00" w:val="clear"/>
        </w:rPr>
        <w:t xml:space="preserve">Joshua Golightly</w:t>
      </w:r>
      <w:r>
        <w:rPr>
          <w:rFonts w:ascii="Times New Roman" w:hAnsi="Times New Roman" w:cs="Times New Roman" w:eastAsia="Times New Roman"/>
          <w:color w:val="auto"/>
          <w:spacing w:val="0"/>
          <w:position w:val="0"/>
          <w:sz w:val="24"/>
          <w:shd w:fill="auto" w:val="clear"/>
        </w:rPr>
        <w:t xml:space="preserve">, knowing that false statements herein are punishable by law, or after being first duly sworn upon oath, depose and state:</w:t>
      </w:r>
    </w:p>
    <w:p>
      <w:pPr>
        <w:numPr>
          <w:ilvl w:val="0"/>
          <w:numId w:val="2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00" w:val="clear"/>
        </w:rPr>
        <w:t xml:space="preserve">I am a Deputy Sheriff with the New Madrid County Sheriff’s office. I am currently assigned as an Investigator with the Southeast Missouri Drug Task Force. I have been a Law Enforcement Officer for more than 10 years</w:t>
      </w:r>
      <w:r>
        <w:rPr>
          <w:rFonts w:ascii="Times New Roman" w:hAnsi="Times New Roman" w:cs="Times New Roman" w:eastAsia="Times New Roman"/>
          <w:color w:val="auto"/>
          <w:spacing w:val="0"/>
          <w:position w:val="0"/>
          <w:sz w:val="24"/>
          <w:shd w:fill="auto" w:val="clear"/>
        </w:rPr>
        <w:t xml:space="preserve">. I have been involved in numerous criminal cases and I have received training regarding a wide variety of criminal investigations.  </w:t>
      </w:r>
    </w:p>
    <w:p>
      <w:pPr>
        <w:numPr>
          <w:ilvl w:val="0"/>
          <w:numId w:val="27"/>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auto" w:val="clear"/>
        </w:rPr>
        <w:t xml:space="preserve">I make this affidavit in support of an application for a warrant authorizing the search of a </w:t>
      </w:r>
      <w:r>
        <w:rPr>
          <w:rFonts w:ascii="Times New Roman" w:hAnsi="Times New Roman" w:cs="Times New Roman" w:eastAsia="Times New Roman"/>
          <w:color w:val="auto"/>
          <w:spacing w:val="0"/>
          <w:position w:val="0"/>
          <w:sz w:val="24"/>
          <w:shd w:fill="FFFF00" w:val="clear"/>
        </w:rPr>
        <w:t xml:space="preserve">black Apple iPhone</w:t>
      </w:r>
      <w:r>
        <w:rPr>
          <w:rFonts w:ascii="Times New Roman" w:hAnsi="Times New Roman" w:cs="Times New Roman" w:eastAsia="Times New Roman"/>
          <w:color w:val="auto"/>
          <w:spacing w:val="0"/>
          <w:position w:val="0"/>
          <w:sz w:val="24"/>
          <w:shd w:fill="auto" w:val="clear"/>
        </w:rPr>
        <w:t xml:space="preserve"> (the “</w:t>
      </w:r>
      <w:r>
        <w:rPr>
          <w:rFonts w:ascii="Times New Roman" w:hAnsi="Times New Roman" w:cs="Times New Roman" w:eastAsia="Times New Roman"/>
          <w:b/>
          <w:color w:val="auto"/>
          <w:spacing w:val="0"/>
          <w:position w:val="0"/>
          <w:sz w:val="24"/>
          <w:shd w:fill="auto" w:val="clear"/>
        </w:rPr>
        <w:t xml:space="preserve">Subject Device</w:t>
      </w:r>
      <w:r>
        <w:rPr>
          <w:rFonts w:ascii="Times New Roman" w:hAnsi="Times New Roman" w:cs="Times New Roman" w:eastAsia="Times New Roman"/>
          <w:color w:val="auto"/>
          <w:spacing w:val="0"/>
          <w:position w:val="0"/>
          <w:sz w:val="24"/>
          <w:shd w:fill="auto" w:val="clear"/>
        </w:rPr>
        <w:t xml:space="preserve">”). The device is currently being stored at the </w:t>
      </w:r>
      <w:r>
        <w:rPr>
          <w:rFonts w:ascii="Times New Roman" w:hAnsi="Times New Roman" w:cs="Times New Roman" w:eastAsia="Times New Roman"/>
          <w:color w:val="auto"/>
          <w:spacing w:val="0"/>
          <w:position w:val="0"/>
          <w:sz w:val="24"/>
          <w:shd w:fill="FFFF00" w:val="clear"/>
        </w:rPr>
        <w:t xml:space="preserve">Sikeston Department of Public Safety, Sikeston, Missouri.</w:t>
      </w:r>
    </w:p>
    <w:p>
      <w:pPr>
        <w:numPr>
          <w:ilvl w:val="0"/>
          <w:numId w:val="2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As described below, there is probable cause to believe that the </w:t>
      </w:r>
      <w:r>
        <w:rPr>
          <w:rFonts w:ascii="Times New Roman" w:hAnsi="Times New Roman" w:cs="Times New Roman" w:eastAsia="Times New Roman"/>
          <w:b/>
          <w:color w:val="auto"/>
          <w:spacing w:val="0"/>
          <w:position w:val="0"/>
          <w:sz w:val="24"/>
          <w:shd w:fill="auto" w:val="clear"/>
        </w:rPr>
        <w:t xml:space="preserve">Subject Device </w:t>
      </w:r>
      <w:r>
        <w:rPr>
          <w:rFonts w:ascii="Times New Roman" w:hAnsi="Times New Roman" w:cs="Times New Roman" w:eastAsia="Times New Roman"/>
          <w:color w:val="auto"/>
          <w:spacing w:val="0"/>
          <w:position w:val="0"/>
          <w:sz w:val="24"/>
          <w:shd w:fill="auto" w:val="clear"/>
        </w:rPr>
        <w:t xml:space="preserve">contains evidence of violations of </w:t>
      </w:r>
      <w:r>
        <w:rPr>
          <w:rFonts w:ascii="Times New Roman" w:hAnsi="Times New Roman" w:cs="Times New Roman" w:eastAsia="Times New Roman"/>
          <w:color w:val="auto"/>
          <w:spacing w:val="0"/>
          <w:position w:val="0"/>
          <w:sz w:val="24"/>
          <w:shd w:fill="FFFF00" w:val="clear"/>
        </w:rPr>
        <w:t xml:space="preserve">Chapter 565 of the Revised Statutes of Missouri, namely: Murder in the 1</w:t>
      </w:r>
      <w:r>
        <w:rPr>
          <w:rFonts w:ascii="Times New Roman" w:hAnsi="Times New Roman" w:cs="Times New Roman" w:eastAsia="Times New Roman"/>
          <w:color w:val="auto"/>
          <w:spacing w:val="0"/>
          <w:position w:val="0"/>
          <w:sz w:val="24"/>
          <w:shd w:fill="FFFF00" w:val="clear"/>
          <w:vertAlign w:val="superscript"/>
        </w:rPr>
        <w:t xml:space="preserve">st</w:t>
      </w:r>
      <w:r>
        <w:rPr>
          <w:rFonts w:ascii="Times New Roman" w:hAnsi="Times New Roman" w:cs="Times New Roman" w:eastAsia="Times New Roman"/>
          <w:color w:val="auto"/>
          <w:spacing w:val="0"/>
          <w:position w:val="0"/>
          <w:sz w:val="24"/>
          <w:shd w:fill="FFFF00" w:val="clear"/>
        </w:rPr>
        <w:t xml:space="preserve"> Degree</w:t>
      </w:r>
      <w:r>
        <w:rPr>
          <w:rFonts w:ascii="Times New Roman" w:hAnsi="Times New Roman" w:cs="Times New Roman" w:eastAsia="Times New Roman"/>
          <w:color w:val="auto"/>
          <w:spacing w:val="0"/>
          <w:position w:val="0"/>
          <w:sz w:val="24"/>
          <w:shd w:fill="auto" w:val="clear"/>
        </w:rPr>
        <w:t xml:space="preserve"> (the “</w:t>
      </w:r>
      <w:r>
        <w:rPr>
          <w:rFonts w:ascii="Times New Roman" w:hAnsi="Times New Roman" w:cs="Times New Roman" w:eastAsia="Times New Roman"/>
          <w:b/>
          <w:color w:val="auto"/>
          <w:spacing w:val="0"/>
          <w:position w:val="0"/>
          <w:sz w:val="24"/>
          <w:shd w:fill="auto" w:val="clear"/>
        </w:rPr>
        <w:t xml:space="preserve">Subject Offenses</w:t>
      </w:r>
      <w:r>
        <w:rPr>
          <w:rFonts w:ascii="Times New Roman" w:hAnsi="Times New Roman" w:cs="Times New Roman" w:eastAsia="Times New Roman"/>
          <w:color w:val="auto"/>
          <w:spacing w:val="0"/>
          <w:position w:val="0"/>
          <w:sz w:val="24"/>
          <w:shd w:fill="auto" w:val="clear"/>
        </w:rPr>
        <w:t xml:space="preserve">”).</w:t>
      </w:r>
    </w:p>
    <w:p>
      <w:pPr>
        <w:numPr>
          <w:ilvl w:val="0"/>
          <w:numId w:val="2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subject of this investigation is </w:t>
      </w:r>
      <w:r>
        <w:rPr>
          <w:rFonts w:ascii="Times New Roman" w:hAnsi="Times New Roman" w:cs="Times New Roman" w:eastAsia="Times New Roman"/>
          <w:color w:val="auto"/>
          <w:spacing w:val="0"/>
          <w:position w:val="0"/>
          <w:sz w:val="24"/>
          <w:shd w:fill="FFFF00" w:val="clear"/>
        </w:rPr>
        <w:t xml:space="preserve">Courtez L. McGee. McGee is described as a black male. His date of birth is July 20, 2005.  He lives at 1000 South Locust Street, Charleston, Missouri</w:t>
      </w:r>
      <w:r>
        <w:rPr>
          <w:rFonts w:ascii="Times New Roman" w:hAnsi="Times New Roman" w:cs="Times New Roman" w:eastAsia="Times New Roman"/>
          <w:color w:val="auto"/>
          <w:spacing w:val="0"/>
          <w:position w:val="0"/>
          <w:sz w:val="24"/>
          <w:shd w:fill="auto" w:val="clear"/>
        </w:rPr>
        <w:t xml:space="preserve"> (the “</w:t>
      </w:r>
      <w:r>
        <w:rPr>
          <w:rFonts w:ascii="Times New Roman" w:hAnsi="Times New Roman" w:cs="Times New Roman" w:eastAsia="Times New Roman"/>
          <w:b/>
          <w:color w:val="auto"/>
          <w:spacing w:val="0"/>
          <w:position w:val="0"/>
          <w:sz w:val="24"/>
          <w:shd w:fill="auto" w:val="clear"/>
        </w:rPr>
        <w:t xml:space="preserve">Subject.</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29"/>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facts in this affidavit come from my personal observations and review of records, my training and experience, and information obtained from other agents and witnesses. This affidavit includes only those facts I believe are necessary to establish probable cause for the issuance of the requested warrant and does not include all the facts known to me about this investigation.</w:t>
      </w:r>
    </w:p>
    <w:p>
      <w:pPr>
        <w:spacing w:before="0" w:after="0" w:line="480"/>
        <w:ind w:right="0" w:left="0" w:firstLine="0"/>
        <w:jc w:val="center"/>
        <w:rPr>
          <w:rFonts w:ascii="Times New Roman" w:hAnsi="Times New Roman" w:cs="Times New Roman" w:eastAsia="Times New Roman"/>
          <w:b/>
          <w:caps w:val="true"/>
          <w:color w:val="auto"/>
          <w:spacing w:val="0"/>
          <w:position w:val="0"/>
          <w:sz w:val="24"/>
          <w:u w:val="single"/>
          <w:shd w:fill="auto" w:val="clear"/>
        </w:rPr>
      </w:pPr>
      <w:r>
        <w:rPr>
          <w:rFonts w:ascii="Times New Roman" w:hAnsi="Times New Roman" w:cs="Times New Roman" w:eastAsia="Times New Roman"/>
          <w:b/>
          <w:caps w:val="true"/>
          <w:color w:val="auto"/>
          <w:spacing w:val="0"/>
          <w:position w:val="0"/>
          <w:sz w:val="24"/>
          <w:u w:val="single"/>
          <w:shd w:fill="auto" w:val="clear"/>
        </w:rPr>
        <w:t xml:space="preserve">FACTS SUPPORTING PROBABLE CAUSe</w:t>
      </w:r>
    </w:p>
    <w:p>
      <w:pPr>
        <w:numPr>
          <w:ilvl w:val="0"/>
          <w:numId w:val="31"/>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On July 3, 2022, the Southeast Missouri Major Case Squad was activated to investigate a murder that occurred in the Sikeston area of Scott County, Missouri.  The incident occurred at approximately 0325 hours when Sikeston Department of Public Safety officers responded to Huck’s Convenience Store, 823 East Malone Avenue, for a reported shooting.</w:t>
      </w:r>
    </w:p>
    <w:p>
      <w:pPr>
        <w:numPr>
          <w:ilvl w:val="0"/>
          <w:numId w:val="31"/>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Officers arrived on scene and found a twenty-one-year-old black female laying on the ground suffering from a gunshot wound to the upper torso.  The victim, Sh’Tyana Ingram, was pronounced dead at 0424 hours by Dr. Chad Armstrong at St. Francis Medical Center, Cape Girardeau, Missouri.</w:t>
      </w:r>
    </w:p>
    <w:p>
      <w:pPr>
        <w:numPr>
          <w:ilvl w:val="0"/>
          <w:numId w:val="31"/>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Antrayvyana Moore, Ingram’s niece, was present at Huck’s when the homicide occurred.  I spoke with her at 216 David Drive on July 3, 2022 at around 0845 hours.  Moore declined to come to the police station to be formally interviewed.  She said she didn’t see who the shooter was but that she heard the shooter was Courtez McGee, a young black male from Charleston, Missouri.  She said the word was that a black male called “DMan” put him up to it.  From prior law enforcement investigations, I know DMan to be Demarcus Turner.</w:t>
      </w:r>
    </w:p>
    <w:p>
      <w:pPr>
        <w:spacing w:before="0" w:after="0" w:line="480"/>
        <w:ind w:right="0" w:left="0" w:firstLine="0"/>
        <w:jc w:val="both"/>
        <w:rPr>
          <w:rFonts w:ascii="Times New Roman" w:hAnsi="Times New Roman" w:cs="Times New Roman" w:eastAsia="Times New Roman"/>
          <w:color w:val="auto"/>
          <w:spacing w:val="0"/>
          <w:position w:val="0"/>
          <w:sz w:val="24"/>
          <w:shd w:fill="FFFF00"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FFFF00"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FFFF00"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FFFF00" w:val="clear"/>
        </w:rPr>
      </w:pP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During the investigation, we learned that there was a sixteen-year-old juvenile named Courtez McGee from Charleston that was currently under the supervision of Missouri DYS.  Investigators learned that McGee reached out to his DYS supervisor on July 4, 2022 and said that he knew law enforcement wanted to speak with him.  He said he would not come in to be interviewed but that he would be home if we wanted to speak with him.</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We learned that Courtez lived with his mother at 1000 South Locust Street, Charleston, Missouri.  His mother was identified as Denise Combest.  Combest is a white female.  Her date of birth is May 7, 1985.  Investigators also received information that a neighbor on Locust, Aisha Winston, was called by an unknown person and told to keep her kids close because something was going to happen beside her house (a reference to a retaliatory shooting at Courtez.)</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July 5, 2022, Detective Paula Nichols interviewed a subject that was present at Hucks when the shooting took place.  This subject’s identity is known to me, but due to concerns for their immediate safety is not being disclosed.  The subject positively identified Courtez McGee as the person who shot Sh’tyana Ingram at Hucks on July 3, 2022.</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On July 5, 2022, several investigators went to the Charleston area in search of McGee.  We spoke with several family members, including his mother.  No one claimed to have seen him.  Combest, his mother, told investigators that she hadn’t seen him since a “couple days” before the shooting took place.</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On July 6, 2022, Combest brought McGee to the front lobby of Sikeston DPS to be interviewed.  McGee said he was in Charleston the entire night of the shooting and that he never came to Sikeston.  He said he was with Keajah and Zakia Ware, and “Quan” Williams at 502 South Ada, Charleston.  Throughout the course of the investigation, we have spoke to all three of those individuals.  They all deny being with McGee the night of the homicide.  </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Combest was present during the interview.  She told investigators then that she saw McGee prior to the shooting and that he was hanging out with “K Dubb,” (Z. Ware.)  She went on to say that she woke up on the morning of July 4, 2022 and started hearing rumors that McGee’s name was “in the streets” (involved in rumor) so she went to K. Dubbs house and asked Courtez what was going on, a direct contradiction to her statement to investigators a day prior.  I asked McGee where he was on July 5 because we had been several places looking for him.  He said Dman took him to St. Louis and bought him clothes.  I asked him who Dman was and he replied that it was his cousin.  He said he bought him clothes for his birthday (nearly a month away.)</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Missouri DYS issued an absconder warrant for McGee.  He was placed under arrest on July 6, 2022 at 0243 hours and transported to the Mississippi County Juvenile Detention Center.</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On July 7, 2022, investigators were reviewing jail calls from the Juvenile Detention Center.  The call being reviewed was from McGee to his mother.  During the call, McGee asked Combest where his phone was.  She replied that it was “out the way.”  He said, “you got it, right?” and she replied something to the effect of, “I’m not messing with that.”  McGee specifically asked her to get his phone and to three-way call his “baby-momma.”</w:t>
      </w:r>
    </w:p>
    <w:p>
      <w:pPr>
        <w:numPr>
          <w:ilvl w:val="0"/>
          <w:numId w:val="33"/>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On July 7, 2022 investigators made contact with Combest at her residence at 1000 S. Locust Street.  She denied having McGee’s phone.  She showed them a tablet and what appeared to be a broken phone.  She said she was talking to McGee on the tablet and used the phone to call via social media the person he requested.  She was unable to get the phone to boot and unable to provide a logical explanation as to what was wrong with the phone.  The tablet is not believed to be cell-service enabled.  It’s also not logical to believe that a landline phone from the detention center was able to call a tablet without cell service.</w:t>
      </w:r>
    </w:p>
    <w:p>
      <w:pPr>
        <w:spacing w:before="0" w:after="0" w:line="480"/>
        <w:ind w:right="0" w:left="720" w:firstLine="0"/>
        <w:jc w:val="both"/>
        <w:rPr>
          <w:rFonts w:ascii="Times New Roman" w:hAnsi="Times New Roman" w:cs="Times New Roman" w:eastAsia="Times New Roman"/>
          <w:color w:val="auto"/>
          <w:spacing w:val="0"/>
          <w:position w:val="0"/>
          <w:sz w:val="24"/>
          <w:shd w:fill="FFFF00" w:val="clear"/>
        </w:rPr>
      </w:pPr>
    </w:p>
    <w:p>
      <w:pPr>
        <w:numPr>
          <w:ilvl w:val="0"/>
          <w:numId w:val="35"/>
        </w:numPr>
        <w:spacing w:before="0" w:after="0" w:line="480"/>
        <w:ind w:right="0" w:left="0" w:firstLine="72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FFFF00" w:val="clear"/>
        </w:rPr>
        <w:t xml:space="preserve">Based on that information, a search warrant was executed at the residence on Locust Street.  A red Apple iPhone was located in Combest’s bedroom.  It was concealed inside a pillow on her bed.  Combest identified the phone as being McGee’s.  Several other cellular devices were seized as a result of that warrant.</w:t>
      </w:r>
    </w:p>
    <w:p>
      <w:pPr>
        <w:numPr>
          <w:ilvl w:val="0"/>
          <w:numId w:val="35"/>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Based on my training and experience I know individual(s) that commit these types of crimes commonly use cellular telephone and other electronical devises to further their criminal activities to log or record notes, photographs, messages and to communicate with their associates, buyers and suppliers. These individuals also use their cellular telephone devices to search for supplies used in furthering their criminal activities and also by using numerous other applications. </w:t>
      </w:r>
    </w:p>
    <w:p>
      <w:pPr>
        <w:numPr>
          <w:ilvl w:val="0"/>
          <w:numId w:val="35"/>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Based on my training and experience, as well as my participation in other investigations, I know that:</w:t>
      </w:r>
    </w:p>
    <w:p>
      <w:pPr>
        <w:numPr>
          <w:ilvl w:val="0"/>
          <w:numId w:val="35"/>
        </w:numPr>
        <w:spacing w:before="0" w:after="0" w:line="480"/>
        <w:ind w:right="0" w:left="21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is very common for criminals that commit these crimes of distribution of drugs, to use their cellular telephones to log notes, keep photographs and communicate with their associates such as, buyers and other sellers and their suppliers of illegal narcotics and weapons, as I know drug dealers possess and keep firearms and weapons to safeguard themselves, their drugs and money.  </w:t>
      </w:r>
    </w:p>
    <w:p>
      <w:pPr>
        <w:numPr>
          <w:ilvl w:val="0"/>
          <w:numId w:val="35"/>
        </w:numPr>
        <w:spacing w:before="0" w:after="0" w:line="480"/>
        <w:ind w:right="0" w:left="21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this day and age, a person’s cellular telephone is a vital means of communication and the privacy of such should not be taken lightly. However, I also know that drug dealers rely on such technology to facilitate the commission of crime and to further their criminal enterprises. Drug dealers use their cell phones to communicate with buyers, as well to communicate with sellers and distributers;</w:t>
      </w:r>
    </w:p>
    <w:p>
      <w:pPr>
        <w:numPr>
          <w:ilvl w:val="0"/>
          <w:numId w:val="35"/>
        </w:numPr>
        <w:spacing w:before="0" w:after="0" w:line="480"/>
        <w:ind w:right="0" w:left="21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drug dealers often keep logs of transactions and historical messages between buyers and sellers can show a history of co-conspirators who have sold and bought drugs;</w:t>
      </w:r>
    </w:p>
    <w:p>
      <w:pPr>
        <w:numPr>
          <w:ilvl w:val="0"/>
          <w:numId w:val="35"/>
        </w:numPr>
        <w:spacing w:before="0" w:after="0" w:line="480"/>
        <w:ind w:right="0" w:left="21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drug dealers often take photographs with their cell phones to send to prospective clients to serve as advertisements for their products;</w:t>
      </w:r>
    </w:p>
    <w:p>
      <w:pPr>
        <w:numPr>
          <w:ilvl w:val="0"/>
          <w:numId w:val="35"/>
        </w:numPr>
        <w:spacing w:before="0" w:after="0" w:line="480"/>
        <w:ind w:right="0" w:left="21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drug dealers often purchase illegal items from the internet, particularly drugs from what is referred to as the “dark” or “deep” web;</w:t>
      </w:r>
    </w:p>
    <w:p>
      <w:pPr>
        <w:numPr>
          <w:ilvl w:val="0"/>
          <w:numId w:val="35"/>
        </w:numPr>
        <w:spacing w:before="0" w:after="0" w:line="480"/>
        <w:ind w:right="0" w:left="21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dark web is a portion of the internet that is not readily accessible from the regular internet. Access to the dark web requires special software and applications that can only run on computers and electronic devices;</w:t>
      </w:r>
    </w:p>
    <w:p>
      <w:pPr>
        <w:numPr>
          <w:ilvl w:val="0"/>
          <w:numId w:val="35"/>
        </w:numPr>
        <w:spacing w:before="0" w:after="0" w:line="480"/>
        <w:ind w:right="0" w:left="216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drug dealers often operate using “cryptocurrency” in an effort to thwart law enforcement;</w:t>
      </w:r>
    </w:p>
    <w:p>
      <w:pPr>
        <w:numPr>
          <w:ilvl w:val="0"/>
          <w:numId w:val="35"/>
        </w:numPr>
        <w:spacing w:before="0" w:after="0" w:line="480"/>
        <w:ind w:right="0" w:left="2880" w:hanging="1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Cryptocurrency is a digital currency in which encryption techniques are used to regulate the generation of units of currency and verify the transfer of funds, operating independently of a central bank.</w:t>
      </w:r>
    </w:p>
    <w:p>
      <w:pPr>
        <w:spacing w:before="0" w:after="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Mobile Devices</w:t>
      </w:r>
    </w:p>
    <w:p>
      <w:pPr>
        <w:numPr>
          <w:ilvl w:val="0"/>
          <w:numId w:val="39"/>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from my training and experience that mobile devices, including cellular telephones and tablet computers, commonly contain live and deleted user attribution data including, but not limited to, user accounts, e-mail accounts, passwords, PIN codes, patterns, account names, user names, screen names, remote data storage accounts, documents, files, pictures, videos, metadata, or any other information and evidence that may demonstrate attribution to a particular user or users. </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41"/>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that it is necessary to search live and deleted data recovered from a mobile device from when a mobile device was first activated to when a device was seized. This is specifically necessary to establish a particular device and associated application to a particular user or users. Additionally, a full scope of time is necessary to identify communications, contacts, calendar entries, pictures, videos, location information (including GPS, navigation, and maps) that may convey communication between parties. This information may be used to identify suspects, co-conspirators, associates, witnesses and other individuals who may have involvement or knowledge of crimes and to establish preplanning, execution, and post event information of criminal activity. Without this information, it may not be possible to understand events of a particular day and time in proper context and to attribute particular user or users of a device and their associated applications.  </w:t>
      </w:r>
    </w:p>
    <w:p>
      <w:pPr>
        <w:numPr>
          <w:ilvl w:val="0"/>
          <w:numId w:val="41"/>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it is necessary to search live and deleted data recovered from a mobile device from when the mobile device was first activated to when a device was seized. This is specifically necessary to establish that a particular mobile device and any associated applications can be attributed to a particular user. Additionally, this full range of time may be necessary to identify communications, contacts, calendar entries, pictures, videos, location information (including chats, texts, emails, web searches, GPS, navigation, maps, and other data) that may convey communication between parties and identify suspects, co-conspirators, associates, witnesses and other individuals who may have involvement or knowledge of crimes and to establish pre-planning, execution, and post event information of criminal activity. Without this information, it may not be possible to authenticate and understand events of a particular day and time in proper context and to attribute particular user or users of a mobile device and their associated applications in proper context.</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43"/>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from my training and experience that mobile devices, including cellular telephones and tablet computers, commonly have the capability of sending and receiving text messages. These text messages are commonly referred to as Short Message Service or SMS messages. I also know from my training and experience that mobile devices have the capability of sending and receiving photographic images along with text. These messages are commonly referred to as Multi Media Service or MMS messages. These messages can be transmitted to and from the device by the cellular telephone provider or by use of a third party application installed on the device. I also know that these messages and images could be used to convey information between parties that may be used to identify suspects, co-conspirators, associates, witnesses and other individuals who may have involvement or knowledge of the crime. </w:t>
      </w:r>
    </w:p>
    <w:p>
      <w:pPr>
        <w:numPr>
          <w:ilvl w:val="0"/>
          <w:numId w:val="43"/>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based on my training and experience that mobile devices commonly have cameras that can record still images and video. I know that the device can be used to store and disseminate those images and videos to other people. I also know that metadata associated with these images and videos may include details such as the camera used, date and time the image or video were recorded, and GPS location information. </w:t>
      </w:r>
    </w:p>
    <w:p>
      <w:pPr>
        <w:numPr>
          <w:ilvl w:val="0"/>
          <w:numId w:val="43"/>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from my training and experience that mobile devices can have installed applications that can be used to hide and even encrypt data and conceal specific data from detection. These applications are generally accessed by covert means known by the user and often require a PIN code, pattern, password, or a unique biometric feature such as a fingerprint. I also know that users sometimes hide contraband images and other content in other applications and folders such as calendars and games as a way to avoid detection. For these reasons I know that it is necessary to search all data on the device.  </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45"/>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that mobile devices are capable of transmitting data and running applications capable of sharing information through the World Wide Web (Internet).  I know that videos and images can be e-mailed, sent through messaging systems such as SMS and MMS messages and other forms of communication located within specialized applications.  </w:t>
      </w:r>
    </w:p>
    <w:p>
      <w:pPr>
        <w:numPr>
          <w:ilvl w:val="0"/>
          <w:numId w:val="45"/>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when mobile devices are examined it is common to identify e-mail addresses and other on-line accounts which could contain evidence of distribution of images, videos, text communication, file sharing, and remote cloud storage.</w:t>
      </w:r>
    </w:p>
    <w:p>
      <w:pPr>
        <w:numPr>
          <w:ilvl w:val="0"/>
          <w:numId w:val="45"/>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based on my training and experience that people using mobile devices commonly keep contact lists containing names and phone numbers.  I know these names and numbers can be useful in identifying possible victims, associates, suspects, co-conspirators, and other relevant individuals.</w:t>
      </w:r>
    </w:p>
    <w:p>
      <w:pPr>
        <w:numPr>
          <w:ilvl w:val="0"/>
          <w:numId w:val="45"/>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based on my training and experience that mobile devices commonly have Global Positioning System (GPS) or similar geo-location sensors.  These sensors may track the historical location of the device geographically and provide a historical record.  I also know that these systems leave log files, which can be recovered and used to locate a device’s geographic location on a specific date and time. I know that this information could be used to include or exclude the user from involvement with the planning, execution, and potential post crime cover-up activities.  </w:t>
      </w:r>
    </w:p>
    <w:p>
      <w:pPr>
        <w:numPr>
          <w:ilvl w:val="0"/>
          <w:numId w:val="45"/>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some mobile devices may contain a Subscriber Identity Module (SIM cards) that may contain data associated with the device and user attribution such as contact lists, call logs, SMS messages, telephone number, and other user data commonly found in cellular telephones. This data can be recovered forensically.  </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4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that some mobile devices may contain removable media cards. These cards are commonly referred to as SD cards or a Micro SD cards. These cards can be used to store additional data associated with the mobile device including photographic images, videos, text files and other digital data. I know that additional data contained within these files may also provide dates, times, locations, settings, devices used, and user attribution information. This data can be recovered forensically.  </w:t>
      </w:r>
    </w:p>
    <w:p>
      <w:pPr>
        <w:numPr>
          <w:ilvl w:val="0"/>
          <w:numId w:val="4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these mobile devices can be used to delete, create, share, and store files and other data including, but not limited to, documents, photographs, videos, electronic mail, search history and other relevant live and deleted user information. I also know that such devices can be used to communicate and share information with others and that data can be transferred between various devices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wirelessly and by connected cables. </w:t>
      </w:r>
    </w:p>
    <w:p>
      <w:pPr>
        <w:numPr>
          <w:ilvl w:val="0"/>
          <w:numId w:val="4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that live and deleted data recovered from mobile devices may show evidence of current, on-going, future, and past criminal activity. Such information can be used to identify victims, witnesses, associates and co-conspirators. I also know that data from these devices can often include user attribution data that can identify the person(s) who sent, received, created, viewed, modified, or otherwise had control over particular content. </w:t>
      </w:r>
    </w:p>
    <w:p>
      <w:pPr>
        <w:numPr>
          <w:ilvl w:val="0"/>
          <w:numId w:val="4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that if these items are not seized and isolated from network connectivity in a timely manner, evidence may be destroyed, transferred, encrypted, modified, or otherwise lost forever. I know that data recovered from mobile devices can be used to corroborate or refute data recovered or obtained from other mobile devices and/or from service provider records. </w:t>
      </w:r>
    </w:p>
    <w:p>
      <w:pPr>
        <w:numPr>
          <w:ilvl w:val="0"/>
          <w:numId w:val="47"/>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these reasons, I believe probable cause exists to seize and examine all digital storage devices at the location described.</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Information Regarding Cloud Data</w:t>
      </w:r>
    </w:p>
    <w:p>
      <w:pPr>
        <w:numPr>
          <w:ilvl w:val="0"/>
          <w:numId w:val="50"/>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through his training, knowledge and experience that cellular telephones are now being utilized by suspects, as well as private citizens, for the purposes of portable computing. Many cellular telephones have the ability to; type and store documents, take and store pictures/videos, access the Internet, deploy applications (which can be programmed to do almost anything), make phone calls, send and receive SMS/MMS messages, connect to social networks, remotely store data on the “cloud”, store large amounts of data on the actual phone, sync with a computer, and show live video streaming.</w:t>
      </w:r>
    </w:p>
    <w:p>
      <w:pPr>
        <w:numPr>
          <w:ilvl w:val="0"/>
          <w:numId w:val="50"/>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through his training, knowledge, and experience that communication on digital devices has expanded beyond the use of basic applications which come pre-installed on digital devices. Currently, many people now utilize many different applications to communicate with individuals and/or groups of people. </w:t>
      </w:r>
    </w:p>
    <w:p>
      <w:pPr>
        <w:numPr>
          <w:ilvl w:val="0"/>
          <w:numId w:val="50"/>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These applications may store user communication records/data on a digital device itself or on the application’s (Company’s) server. For this reason, the digital devices’ access to data through the Internet is an extension of digital device. An application may reveal messaging information to a user when connected with the username and password to the remote server, but when the phone doesn’t have Internet access, a user may see no data on the device. This data is slightly different than what is described above because the presence of or lack of this data may only be found during the forensic analysis of the digital device. For the reasons stated, it is very important to utilize the device in conjunction with the Internet, usernames and passwords to preserve and analyze this information. I know that many users communicate directly through these applications and\or the communication material may only be accessible by utilizing the Internet, username, and password.</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52"/>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If it is discovered that a user has data/communication data stored remotely and access on a digital device is granted when the application is launched, it is important that the analysis also include preserving the data that is accessed remotely.</w:t>
      </w:r>
    </w:p>
    <w:p>
      <w:pPr>
        <w:numPr>
          <w:ilvl w:val="0"/>
          <w:numId w:val="52"/>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many times digital devices have proprietary power and data connection cables and without these cables it is impossible to connect to the device. I have found through his training and experience that by seizing operating logs, user notes, sticky notes or manuals, many of the usernames and passwords can in some instances be bypassed.</w:t>
      </w:r>
    </w:p>
    <w:p>
      <w:pPr>
        <w:numPr>
          <w:ilvl w:val="0"/>
          <w:numId w:val="52"/>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through his training, knowledge, and experience that one way suspects as well as private citizens utilize digital devices is by “cloud computing”.  “Cloud computing” can be accessed from all types of digital devices with access to the Internet, to access and store their digital data. I have also discovered that private citizens and businesses are using electronic service providers who provide the service of storing electronic data from anywhere there is service to the Internet. In doing so, an authorized user can electronically access records and other data on a remote server from any device that can connect to the Internet. This allows the customer to connect to the server view, transfer, alter, create, copy, and print the data from the remote server as if it was at the same location as the user’s digital device. The user typically owns and controls the data stored at the remote server while the electronic service provider owns the server on which data is stored.</w:t>
      </w:r>
    </w:p>
    <w:p>
      <w:pPr>
        <w:numPr>
          <w:ilvl w:val="0"/>
          <w:numId w:val="52"/>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know that in the past five years, cloud services have become an integral part of digital devices and user’s data storage. I know that many digital devices utilize the “cloud” to store backups and/or data to be accessed from multiple devices. I also know that many digital devices are using cloud services by default, sometimes without the user’s knowledge. This use of cloud storage has become so closely tied with many devices that the cloud functions as an extension of their digital device. </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54"/>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this reason persons may have data on the cloud that is not present on the digital device, either because of an attempt to conceal the data, ease of access between multiple devices, or lack of knowledge of the technology. Furthermore, due to the ease at which the data on the cloud can be altered, deleted, changed and added to; I believe that if cloud storage is discovered at the time of the execution of the search warrant it is imperative to immediately preserve the data. This may include utilizing the usernames and passwords located through forensic analysis, or from the suspect directly, to access and preserve the data located on remote servers at the time of the execution of the search warrant. I believe it is necessary to preserve this data quickly as it may change quickly through continued use or because of an attempt to destroy evidence by anyone with access to the Internet, the username and password. It should be noted that access to this data in the “cloud” will be limited to the exigency at the time of the search warrant service, because data can be changed quickly on the “cloud”. </w:t>
      </w:r>
    </w:p>
    <w:p>
      <w:pPr>
        <w:numPr>
          <w:ilvl w:val="0"/>
          <w:numId w:val="54"/>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know from communication with digital forensic experts that the process of analyzing mobile devices takes on many forms. Many time the analysis of a mobile device can be completed by connecting the device to forensic applications, which will gather the data contained within that device. Although this is the first and primary means of analyzing mobile devices, there are instances where utilizing this non-destructive means is impossible. If a mobile device is protected by a password (that is not supplied by the suspect or a password that cannot be bypassed by forensic applications) it may still be possible to retrieve data. It may also be possible to extract data from phones that are designed to not connect with computers or forensic applications (TracFones). There are three current processes which have been described to me by forensic experts. First, by utilizing a username and password to access a backup of the device stored on the cloud. Second, by removing the circuit board from the phone and soldering to points used by manufactures. </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p>
    <w:p>
      <w:pPr>
        <w:numPr>
          <w:ilvl w:val="0"/>
          <w:numId w:val="56"/>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These points allow direct access to the memory on the phone. This process may cause damage to the phone, but typically the phone will remain intact and functional when put back together. The last method is by removing the flash memory chip on the phone that actually stores the data on the phone. Once the chip is removed, forensic experts can read the data directly from the chip. This process will result in the permanent destruction of the phone; however, it allows for access to the data that was located on the phone. As a result of I’s training and experience, I know that each of the methods described above for extraction will result in an accurate representation of some or all of the available data from the mobile device itself.</w:t>
      </w:r>
    </w:p>
    <w:p>
      <w:pPr>
        <w:numPr>
          <w:ilvl w:val="0"/>
          <w:numId w:val="56"/>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Based upon my training, knowledge, and experience as a narcotics investigator including the circumstances regarding the above mentioned investigation and the tendency of suspects to utilize digital devices, I believes the aforementioned cell phones contain information pertaining to violations of the controlled dangerous substance laws of the State of Maryland.</w:t>
      </w:r>
    </w:p>
    <w:p>
      <w:pPr>
        <w:numPr>
          <w:ilvl w:val="0"/>
          <w:numId w:val="56"/>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Based upon my training, knowledge, experience and numerous arrests made by I, regarding controlled dangerous substances violations, I knows that individuals who are involved with the trafficking, distribution, possession and use of controlled dangerous substances often use cellular telephones/electronic devices to communicate with associates involved in the same illegal activities. This communication involves the use of the cellular telephones/electronic devices to send and receive text messages, place and receive phone calls, store information, send and receive emails, store digital images, store audio and video recordings, utilize a variety of internet based chat/texting applications, store contact information of associates involved with the same illegal activity, which all further the controlled dangerous substance activity that is occurring and that has already occurred. Therefore, I believes that evidence of crimes involving controlled dangerous substance violations is contained and stored within the above described cellular telephones/electronic devices.</w:t>
      </w:r>
    </w:p>
    <w:p>
      <w:pPr>
        <w:spacing w:before="0" w:after="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Items to be Searched and/or Seized</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user attribution data including, but not limited to, user accounts, e-mail accounts, passwords, PIN codes, patterns, account names, user names, screen names, remote data storage accounts, documents, files, metadata, or any other information and evidence that may demonstrate attribution to a particular user or users; </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records, documents, and other items that may constitute evidence, contraband, fruits, and/or instrumentalities of violations of crimes, including but not limited to the crime(s) listed;</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contact lists, call logs, text messages and multimedia messages (SMS and MMS messages), e-mails, chats, video conference communication data, contact information, installed application information including their content and any other information which can be used to identify potentially associated persons;  </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passwords, password files, PIN codes, encryption codes, or other information necessary to access the digital device or data stored on the digital device such as hidden file applications;</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documents, programs, pictures, videos, audio files, text files, databases, application data, calendar entries, user dictionaries, malware, viruses, tracking or other remote monitoring software, and any associated metadata; </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web browser history, web browser bookmarks, temporary Internet files, cookies, searched items, downloaded and uploaded files, social networking websites or applications;</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data stored on removable media such as Subscriber Identity Modules (SIM cards), flash memory storage devices such as Secure Digital (SD) and Micro SD media cards and any associated wireless devices (Bluetooth, Wi-Fi, or other technology);</w:t>
      </w:r>
    </w:p>
    <w:p>
      <w:pPr>
        <w:numPr>
          <w:ilvl w:val="0"/>
          <w:numId w:val="58"/>
        </w:numPr>
        <w:spacing w:before="0" w:after="0" w:line="480"/>
        <w:ind w:right="0" w:left="2160" w:hanging="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understand that in order to successfully complete a forensic extraction from a mobile device, it may be necessary to repair the device, replace the display screen, replace the chassis, replace the battery, and repair or replace switches and other components that are necessary to make the device operational. I also understand that it may be necessary to employ advanced forensic processes to bypass locked display screens and other data access restrictions. Advanced processes may include, but are not limited to, bruit force attack methods, third party proprietary services and methods and destructive and potentially destructive processes such as gaining root and/or Super user level access and employing methods such as JTAG, ISP-JTAG and chip-off in order to extract data. </w:t>
      </w:r>
    </w:p>
    <w:p>
      <w:pPr>
        <w:numPr>
          <w:ilvl w:val="0"/>
          <w:numId w:val="5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executing law enforcement officer(s) may enlist the aid of a law enforcement computer forensic laboratory and/or certified digital evidence examiner(s) in the searching, viewing, photographing, recording, copying, forensic imagining, and analysis of all of the information described. I also know that digital items listed in this warrant may have associated content that is stored remotely on a server(s) at a third party electronic service provider.  If seized, I will return with a second warrant request to search these items.</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Retention of Forensic Images and Extractions</w:t>
      </w:r>
    </w:p>
    <w:p>
      <w:pPr>
        <w:numPr>
          <w:ilvl w:val="0"/>
          <w:numId w:val="62"/>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government will retain a forensic image or forensic extraction of each electronic storage device subjected to analysis for a number of reasons, including proving the authenticity of evidence to be used at trial; responding to questions regarding the corruption of data; establishing the chain of custody of data; refuting claims of fabricating, tampering, or destroying data; and addressing potential exculpatory evidence claims where, for example, a defendant claims that the government avoided its obligations by destroying data or returning it to a third party.</w:t>
      </w:r>
    </w:p>
    <w:p>
      <w:pPr>
        <w:spacing w:before="0" w:after="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Conclusion</w:t>
      </w:r>
    </w:p>
    <w:p>
      <w:pPr>
        <w:numPr>
          <w:ilvl w:val="0"/>
          <w:numId w:val="64"/>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Based on the foregoing information, I have probable cause to believe that evidence of the crime Delivery of Controlled Substance, as set forth herein are currently within the digital storage devices described above. I therefore respectfully request that a search warrant be issued authorizing the search for, seizure of and examination of the items set forth in herein. </w:t>
      </w:r>
    </w:p>
    <w:p>
      <w:pPr>
        <w:spacing w:before="0" w:after="0" w:line="480"/>
        <w:ind w:right="0" w:left="720" w:firstLine="0"/>
        <w:jc w:val="both"/>
        <w:rPr>
          <w:rFonts w:ascii="Times New Roman" w:hAnsi="Times New Roman" w:cs="Times New Roman" w:eastAsia="Times New Roman"/>
          <w:color w:val="auto"/>
          <w:spacing w:val="0"/>
          <w:position w:val="0"/>
          <w:sz w:val="24"/>
          <w:shd w:fill="auto" w:val="clear"/>
        </w:rPr>
      </w:pPr>
    </w:p>
    <w:tbl>
      <w:tblPr>
        <w:tblInd w:w="715" w:type="dxa"/>
      </w:tblPr>
      <w:tblGrid>
        <w:gridCol w:w="1080"/>
        <w:gridCol w:w="3690"/>
        <w:gridCol w:w="3865"/>
      </w:tblGrid>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0"/>
              <w:left w:val="single" w:color="000000" w:sz="0"/>
              <w:bottom w:val="single" w:color="000000" w:sz="4"/>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r>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4"/>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rPr>
            </w:pPr>
            <w:r>
              <w:rPr>
                <w:rFonts w:ascii="Times New Roman" w:hAnsi="Times New Roman" w:cs="Times New Roman" w:eastAsia="Times New Roman"/>
                <w:color w:val="auto"/>
                <w:spacing w:val="0"/>
                <w:position w:val="0"/>
                <w:sz w:val="24"/>
                <w:shd w:fill="FFFF00" w:val="clear"/>
              </w:rPr>
              <w:t xml:space="preserve">J.S. Golightly T323</w:t>
            </w:r>
          </w:p>
        </w:tc>
      </w:tr>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rPr>
            </w:pPr>
            <w:r>
              <w:rPr>
                <w:rFonts w:ascii="Times New Roman" w:hAnsi="Times New Roman" w:cs="Times New Roman" w:eastAsia="Times New Roman"/>
                <w:color w:val="auto"/>
                <w:spacing w:val="0"/>
                <w:position w:val="0"/>
                <w:sz w:val="24"/>
                <w:shd w:fill="FFFF00" w:val="clear"/>
              </w:rPr>
              <w:t xml:space="preserve">SEMO Drug Task Force</w:t>
            </w:r>
          </w:p>
        </w:tc>
      </w:tr>
    </w:tbl>
    <w:p>
      <w:pPr>
        <w:suppressAutoHyphens w:val="true"/>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uppressLineNumbers w:val="true"/>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have reviewed this Affidavit and Application and hereby apply for a search warrant based upon this Affidavit and place my signature upon this Application.</w:t>
      </w:r>
    </w:p>
    <w:p>
      <w:pPr>
        <w:suppressLineNumbers w:val="true"/>
        <w:spacing w:before="0" w:after="0" w:line="480"/>
        <w:ind w:right="0" w:left="0" w:firstLine="720"/>
        <w:jc w:val="both"/>
        <w:rPr>
          <w:rFonts w:ascii="Times New Roman" w:hAnsi="Times New Roman" w:cs="Times New Roman" w:eastAsia="Times New Roman"/>
          <w:color w:val="auto"/>
          <w:spacing w:val="0"/>
          <w:position w:val="0"/>
          <w:sz w:val="24"/>
          <w:shd w:fill="auto" w:val="clear"/>
        </w:rPr>
      </w:pPr>
    </w:p>
    <w:p>
      <w:pPr>
        <w:suppressLineNumbers w:val="true"/>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OFFICE OF THE PROSECUTING ATTORNEY</w:t>
      </w:r>
    </w:p>
    <w:p>
      <w:pPr>
        <w:suppressLineNumbers w:val="true"/>
        <w:spacing w:before="0" w:after="0" w:line="240"/>
        <w:ind w:right="0" w:left="0" w:firstLine="0"/>
        <w:jc w:val="right"/>
        <w:rPr>
          <w:rFonts w:ascii="Times New Roman" w:hAnsi="Times New Roman" w:cs="Times New Roman" w:eastAsia="Times New Roman"/>
          <w:color w:val="auto"/>
          <w:spacing w:val="0"/>
          <w:position w:val="0"/>
          <w:sz w:val="24"/>
          <w:shd w:fill="auto" w:val="clear"/>
        </w:rPr>
      </w:pPr>
    </w:p>
    <w:p>
      <w:pPr>
        <w:suppressLineNumbers w:val="true"/>
        <w:spacing w:before="0" w:after="0" w:line="240"/>
        <w:ind w:right="0" w:left="0" w:firstLine="0"/>
        <w:jc w:val="right"/>
        <w:rPr>
          <w:rFonts w:ascii="Times New Roman" w:hAnsi="Times New Roman" w:cs="Times New Roman" w:eastAsia="Times New Roman"/>
          <w:color w:val="auto"/>
          <w:spacing w:val="0"/>
          <w:position w:val="0"/>
          <w:sz w:val="24"/>
          <w:shd w:fill="auto" w:val="clear"/>
        </w:rPr>
      </w:pPr>
    </w:p>
    <w:tbl>
      <w:tblPr>
        <w:tblInd w:w="715" w:type="dxa"/>
      </w:tblPr>
      <w:tblGrid>
        <w:gridCol w:w="1080"/>
        <w:gridCol w:w="3690"/>
        <w:gridCol w:w="3865"/>
      </w:tblGrid>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0"/>
              <w:left w:val="single" w:color="000000" w:sz="0"/>
              <w:bottom w:val="single" w:color="000000" w:sz="4"/>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r>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DATE:</w:t>
            </w: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4"/>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rPr>
            </w:pPr>
            <w:r>
              <w:rPr>
                <w:rFonts w:ascii="Times New Roman" w:hAnsi="Times New Roman" w:cs="Times New Roman" w:eastAsia="Times New Roman"/>
                <w:color w:val="auto"/>
                <w:spacing w:val="0"/>
                <w:position w:val="0"/>
                <w:sz w:val="24"/>
                <w:shd w:fill="FFFF00" w:val="clear"/>
              </w:rPr>
              <w:t xml:space="preserve">Amanda Oesch</w:t>
            </w:r>
          </w:p>
        </w:tc>
      </w:tr>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rPr>
            </w:pPr>
            <w:r>
              <w:rPr>
                <w:rFonts w:ascii="Times New Roman" w:hAnsi="Times New Roman" w:cs="Times New Roman" w:eastAsia="Times New Roman"/>
                <w:color w:val="auto"/>
                <w:spacing w:val="0"/>
                <w:position w:val="0"/>
                <w:sz w:val="24"/>
                <w:shd w:fill="FFFF00" w:val="clear"/>
              </w:rPr>
              <w:t xml:space="preserve">Prosecuting Attorney</w:t>
            </w:r>
          </w:p>
        </w:tc>
      </w:tr>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TIME:</w:t>
            </w: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rPr>
            </w:pPr>
            <w:r>
              <w:rPr>
                <w:rFonts w:ascii="Times New Roman" w:hAnsi="Times New Roman" w:cs="Times New Roman" w:eastAsia="Times New Roman"/>
                <w:color w:val="auto"/>
                <w:spacing w:val="0"/>
                <w:position w:val="0"/>
                <w:sz w:val="24"/>
                <w:shd w:fill="FFFF00" w:val="clear"/>
              </w:rPr>
              <w:t xml:space="preserve">Scott County, Missouri</w:t>
            </w:r>
          </w:p>
        </w:tc>
      </w:tr>
    </w:tbl>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uppressLineNumbers w:val="true"/>
        <w:spacing w:before="0" w:after="0" w:line="48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Subscribed and sworn before me this </w:t>
      </w:r>
      <w:r>
        <w:rPr>
          <w:rFonts w:ascii="Times New Roman" w:hAnsi="Times New Roman" w:cs="Times New Roman" w:eastAsia="Times New Roman"/>
          <w:color w:val="auto"/>
          <w:spacing w:val="0"/>
          <w:position w:val="0"/>
          <w:sz w:val="24"/>
          <w:shd w:fill="FFFF00" w:val="clear"/>
        </w:rPr>
        <w:t xml:space="preserve">7th day of July, 2022</w:t>
      </w:r>
      <w:r>
        <w:rPr>
          <w:rFonts w:ascii="Times New Roman" w:hAnsi="Times New Roman" w:cs="Times New Roman" w:eastAsia="Times New Roman"/>
          <w:color w:val="auto"/>
          <w:spacing w:val="0"/>
          <w:position w:val="0"/>
          <w:sz w:val="24"/>
          <w:shd w:fill="auto" w:val="clear"/>
        </w:rPr>
        <w:t xml:space="preserve">.</w:t>
      </w:r>
    </w:p>
    <w:p>
      <w:pPr>
        <w:suppressLineNumbers w:val="true"/>
        <w:spacing w:before="0" w:after="0" w:line="480"/>
        <w:ind w:right="0" w:left="0" w:firstLine="0"/>
        <w:jc w:val="both"/>
        <w:rPr>
          <w:rFonts w:ascii="Times New Roman" w:hAnsi="Times New Roman" w:cs="Times New Roman" w:eastAsia="Times New Roman"/>
          <w:color w:val="auto"/>
          <w:spacing w:val="0"/>
          <w:position w:val="0"/>
          <w:sz w:val="24"/>
          <w:shd w:fill="auto" w:val="clear"/>
        </w:rPr>
      </w:pPr>
    </w:p>
    <w:tbl>
      <w:tblPr>
        <w:tblInd w:w="715" w:type="dxa"/>
      </w:tblPr>
      <w:tblGrid>
        <w:gridCol w:w="1080"/>
        <w:gridCol w:w="3690"/>
        <w:gridCol w:w="3865"/>
      </w:tblGrid>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0"/>
              <w:left w:val="single" w:color="000000" w:sz="0"/>
              <w:bottom w:val="single" w:color="000000" w:sz="4"/>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r>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4"/>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rPr>
            </w:pPr>
            <w:r>
              <w:rPr>
                <w:rFonts w:ascii="Times New Roman" w:hAnsi="Times New Roman" w:cs="Times New Roman" w:eastAsia="Times New Roman"/>
                <w:color w:val="auto"/>
                <w:spacing w:val="0"/>
                <w:position w:val="0"/>
                <w:sz w:val="24"/>
                <w:shd w:fill="FFFF00" w:val="clear"/>
              </w:rPr>
              <w:t xml:space="preserve">Honorable Judge</w:t>
            </w:r>
          </w:p>
        </w:tc>
      </w:tr>
      <w:tr>
        <w:trPr>
          <w:trHeight w:val="1" w:hRule="atLeast"/>
          <w:jc w:val="left"/>
        </w:trPr>
        <w:tc>
          <w:tcPr>
            <w:tcW w:w="108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69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rFonts w:ascii="Calibri" w:hAnsi="Calibri" w:cs="Calibri" w:eastAsia="Calibri"/>
                <w:color w:val="auto"/>
                <w:spacing w:val="0"/>
                <w:position w:val="0"/>
                <w:sz w:val="22"/>
                <w:shd w:fill="auto" w:val="clear"/>
              </w:rPr>
            </w:pPr>
          </w:p>
        </w:tc>
        <w:tc>
          <w:tcPr>
            <w:tcW w:w="386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uppressLineNumbers w:val="true"/>
              <w:spacing w:before="0" w:after="0" w:line="240"/>
              <w:ind w:right="0" w:left="0" w:firstLine="0"/>
              <w:jc w:val="right"/>
              <w:rPr>
                <w:color w:val="auto"/>
                <w:spacing w:val="0"/>
                <w:position w:val="0"/>
              </w:rPr>
            </w:pPr>
            <w:r>
              <w:rPr>
                <w:rFonts w:ascii="Times New Roman" w:hAnsi="Times New Roman" w:cs="Times New Roman" w:eastAsia="Times New Roman"/>
                <w:color w:val="auto"/>
                <w:spacing w:val="0"/>
                <w:position w:val="0"/>
                <w:sz w:val="24"/>
                <w:shd w:fill="FFFF00" w:val="clear"/>
              </w:rPr>
              <w:t xml:space="preserve">Scott County, Missouri</w:t>
            </w:r>
          </w:p>
        </w:tc>
      </w:tr>
    </w:tbl>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p>
    <w:p>
      <w:pPr>
        <w:suppressLineNumbers w:val="true"/>
        <w:spacing w:before="0" w:after="0" w:line="360"/>
        <w:ind w:right="0" w:left="0" w:firstLine="0"/>
        <w:jc w:val="left"/>
        <w:rPr>
          <w:rFonts w:ascii="Times New Roman" w:hAnsi="Times New Roman" w:cs="Times New Roman" w:eastAsia="Times New Roman"/>
          <w:b/>
          <w:color w:val="auto"/>
          <w:spacing w:val="0"/>
          <w:position w:val="0"/>
          <w:sz w:val="24"/>
          <w:shd w:fill="auto" w:val="clear"/>
        </w:rPr>
      </w:pPr>
    </w:p>
    <w:tbl>
      <w:tblPr/>
      <w:tblGrid>
        <w:gridCol w:w="3947"/>
        <w:gridCol w:w="1497"/>
        <w:gridCol w:w="3949"/>
      </w:tblGrid>
      <w:tr>
        <w:trPr>
          <w:trHeight w:val="350" w:hRule="auto"/>
          <w:jc w:val="left"/>
        </w:trPr>
        <w:tc>
          <w:tcPr>
            <w:tcW w:w="9393" w:type="dxa"/>
            <w:gridSpan w:val="3"/>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rPr>
            </w:pPr>
            <w:r>
              <w:rPr>
                <w:rFonts w:ascii="Times New Roman" w:hAnsi="Times New Roman" w:cs="Times New Roman" w:eastAsia="Times New Roman"/>
                <w:b/>
                <w:color w:val="auto"/>
                <w:spacing w:val="0"/>
                <w:position w:val="0"/>
                <w:sz w:val="24"/>
                <w:shd w:fill="auto" w:val="clear"/>
              </w:rPr>
              <w:t xml:space="preserve">IN THE CIRCUIT COURT OF </w:t>
            </w:r>
            <w:r>
              <w:rPr>
                <w:rFonts w:ascii="Times New Roman" w:hAnsi="Times New Roman" w:cs="Times New Roman" w:eastAsia="Times New Roman"/>
                <w:b/>
                <w:color w:val="auto"/>
                <w:spacing w:val="0"/>
                <w:position w:val="0"/>
                <w:sz w:val="24"/>
                <w:shd w:fill="FFFF00" w:val="clear"/>
              </w:rPr>
              <w:t xml:space="preserve">SCOTT</w:t>
            </w:r>
            <w:r>
              <w:rPr>
                <w:rFonts w:ascii="Times New Roman" w:hAnsi="Times New Roman" w:cs="Times New Roman" w:eastAsia="Times New Roman"/>
                <w:b/>
                <w:color w:val="auto"/>
                <w:spacing w:val="0"/>
                <w:position w:val="0"/>
                <w:sz w:val="24"/>
                <w:shd w:fill="auto" w:val="clear"/>
              </w:rPr>
              <w:t xml:space="preserve"> COUNTY, MISSOURI</w:t>
            </w: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305" w:hRule="auto"/>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STATE OF MISSOURI</w:t>
            </w: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SS.  Case No._____________</w:t>
            </w: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rPr>
            </w:pPr>
            <w:r>
              <w:rPr>
                <w:rFonts w:ascii="Times New Roman" w:hAnsi="Times New Roman" w:cs="Times New Roman" w:eastAsia="Times New Roman"/>
                <w:color w:val="auto"/>
                <w:spacing w:val="0"/>
                <w:position w:val="0"/>
                <w:sz w:val="24"/>
                <w:shd w:fill="auto" w:val="clear"/>
              </w:rPr>
              <w:t xml:space="preserve">COUNTY OF </w:t>
            </w:r>
            <w:r>
              <w:rPr>
                <w:rFonts w:ascii="Times New Roman" w:hAnsi="Times New Roman" w:cs="Times New Roman" w:eastAsia="Times New Roman"/>
                <w:color w:val="auto"/>
                <w:spacing w:val="0"/>
                <w:position w:val="0"/>
                <w:sz w:val="24"/>
                <w:shd w:fill="FFFF00" w:val="clear"/>
              </w:rPr>
              <w:t xml:space="preserve">SCOTT</w:t>
            </w: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left"/>
        </w:trPr>
        <w:tc>
          <w:tcPr>
            <w:tcW w:w="394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49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94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200" w:line="276"/>
              <w:ind w:right="0" w:left="0" w:firstLine="0"/>
              <w:jc w:val="left"/>
              <w:rPr>
                <w:rFonts w:ascii="Calibri" w:hAnsi="Calibri" w:cs="Calibri" w:eastAsia="Calibri"/>
                <w:color w:val="auto"/>
                <w:spacing w:val="0"/>
                <w:position w:val="0"/>
                <w:sz w:val="22"/>
                <w:shd w:fill="auto" w:val="clear"/>
              </w:rPr>
            </w:pPr>
          </w:p>
        </w:tc>
      </w:tr>
      <w:tr>
        <w:trPr>
          <w:trHeight w:val="562" w:hRule="auto"/>
          <w:jc w:val="left"/>
        </w:trPr>
        <w:tc>
          <w:tcPr>
            <w:tcW w:w="9393" w:type="dxa"/>
            <w:gridSpan w:val="3"/>
            <w:tcBorders>
              <w:top w:val="single" w:color="000000" w:sz="0"/>
              <w:left w:val="single" w:color="000000" w:sz="0"/>
              <w:bottom w:val="single" w:color="000000" w:sz="0"/>
              <w:right w:val="single" w:color="000000" w:sz="0"/>
            </w:tcBorders>
            <w:shd w:color="000000" w:fill="ffffff" w:val="clear"/>
            <w:tcMar>
              <w:left w:w="108" w:type="dxa"/>
              <w:right w:w="108" w:type="dxa"/>
            </w:tcMar>
            <w:vAlign w:val="center"/>
          </w:tcPr>
          <w:p>
            <w:pPr>
              <w:spacing w:before="0" w:after="0" w:line="240"/>
              <w:ind w:right="0" w:left="0" w:firstLine="0"/>
              <w:jc w:val="center"/>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SEARCH WARRANT</w:t>
            </w:r>
          </w:p>
        </w:tc>
      </w:tr>
    </w:tbl>
    <w:p>
      <w:pPr>
        <w:suppressLineNumbers w:val="true"/>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STATE OF MISSOURI TO ANY PEACE OFFICER</w:t>
      </w:r>
    </w:p>
    <w:p>
      <w:pPr>
        <w:suppressLineNumbers w:val="true"/>
        <w:spacing w:before="0" w:after="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STATE OF MISSOURI:</w:t>
      </w:r>
    </w:p>
    <w:p>
      <w:pPr>
        <w:suppressLineNumbers w:val="true"/>
        <w:spacing w:before="0" w:after="0" w:line="36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WHEREAS, an application for a search warrant in writing, duly verified by oath, has been filed with the undersigned Judge of this Court, stating upon information and belief that evidence pertaining to a criminal offense is presently located within the following device</w:t>
      </w:r>
      <w:r>
        <w:rPr>
          <w:rFonts w:ascii="Times New Roman" w:hAnsi="Times New Roman" w:cs="Times New Roman" w:eastAsia="Times New Roman"/>
          <w:color w:val="000000"/>
          <w:spacing w:val="0"/>
          <w:position w:val="0"/>
          <w:sz w:val="24"/>
          <w:shd w:fill="auto" w:val="clear"/>
        </w:rPr>
        <w:t xml:space="preserve">:  </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 </w:t>
      </w:r>
      <w:r>
        <w:rPr>
          <w:rFonts w:ascii="Times New Roman" w:hAnsi="Times New Roman" w:cs="Times New Roman" w:eastAsia="Times New Roman"/>
          <w:color w:val="auto"/>
          <w:spacing w:val="0"/>
          <w:position w:val="0"/>
          <w:sz w:val="24"/>
          <w:shd w:fill="FFFF00" w:val="clear"/>
        </w:rPr>
        <w:t xml:space="preserve">black Apple iPhone</w:t>
      </w:r>
      <w:r>
        <w:rPr>
          <w:rFonts w:ascii="Times New Roman" w:hAnsi="Times New Roman" w:cs="Times New Roman" w:eastAsia="Times New Roman"/>
          <w:color w:val="auto"/>
          <w:spacing w:val="0"/>
          <w:position w:val="0"/>
          <w:sz w:val="24"/>
          <w:shd w:fill="auto" w:val="clear"/>
        </w:rPr>
        <w:t xml:space="preserve"> (the “</w:t>
      </w:r>
      <w:r>
        <w:rPr>
          <w:rFonts w:ascii="Times New Roman" w:hAnsi="Times New Roman" w:cs="Times New Roman" w:eastAsia="Times New Roman"/>
          <w:b/>
          <w:color w:val="auto"/>
          <w:spacing w:val="0"/>
          <w:position w:val="0"/>
          <w:sz w:val="24"/>
          <w:shd w:fill="auto" w:val="clear"/>
        </w:rPr>
        <w:t xml:space="preserve">Subject Device</w:t>
      </w:r>
      <w:r>
        <w:rPr>
          <w:rFonts w:ascii="Times New Roman" w:hAnsi="Times New Roman" w:cs="Times New Roman" w:eastAsia="Times New Roman"/>
          <w:color w:val="auto"/>
          <w:spacing w:val="0"/>
          <w:position w:val="0"/>
          <w:sz w:val="24"/>
          <w:shd w:fill="auto" w:val="clear"/>
        </w:rPr>
        <w:t xml:space="preserve">”). The device is currently being stored at the </w:t>
      </w:r>
      <w:r>
        <w:rPr>
          <w:rFonts w:ascii="Times New Roman" w:hAnsi="Times New Roman" w:cs="Times New Roman" w:eastAsia="Times New Roman"/>
          <w:color w:val="auto"/>
          <w:spacing w:val="0"/>
          <w:position w:val="0"/>
          <w:sz w:val="24"/>
          <w:shd w:fill="FFFF00" w:val="clear"/>
        </w:rPr>
        <w:t xml:space="preserve">Sikeston Department of Public Safety, Sikeston, Missouri.</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is probable cause to believe that the </w:t>
      </w:r>
      <w:r>
        <w:rPr>
          <w:rFonts w:ascii="Times New Roman" w:hAnsi="Times New Roman" w:cs="Times New Roman" w:eastAsia="Times New Roman"/>
          <w:b/>
          <w:color w:val="auto"/>
          <w:spacing w:val="0"/>
          <w:position w:val="0"/>
          <w:sz w:val="24"/>
          <w:shd w:fill="auto" w:val="clear"/>
        </w:rPr>
        <w:t xml:space="preserve">Subject Device </w:t>
      </w:r>
      <w:r>
        <w:rPr>
          <w:rFonts w:ascii="Times New Roman" w:hAnsi="Times New Roman" w:cs="Times New Roman" w:eastAsia="Times New Roman"/>
          <w:color w:val="auto"/>
          <w:spacing w:val="0"/>
          <w:position w:val="0"/>
          <w:sz w:val="24"/>
          <w:shd w:fill="auto" w:val="clear"/>
        </w:rPr>
        <w:t xml:space="preserve">contains evidence of violations of Chapter </w:t>
      </w:r>
      <w:r>
        <w:rPr>
          <w:rFonts w:ascii="Times New Roman" w:hAnsi="Times New Roman" w:cs="Times New Roman" w:eastAsia="Times New Roman"/>
          <w:color w:val="auto"/>
          <w:spacing w:val="0"/>
          <w:position w:val="0"/>
          <w:sz w:val="24"/>
          <w:shd w:fill="FFFF00" w:val="clear"/>
        </w:rPr>
        <w:t xml:space="preserve">565 of the Revised Statutes of Missouri, namely: Murder 1</w:t>
      </w:r>
      <w:r>
        <w:rPr>
          <w:rFonts w:ascii="Times New Roman" w:hAnsi="Times New Roman" w:cs="Times New Roman" w:eastAsia="Times New Roman"/>
          <w:color w:val="auto"/>
          <w:spacing w:val="0"/>
          <w:position w:val="0"/>
          <w:sz w:val="24"/>
          <w:shd w:fill="FFFF00" w:val="clear"/>
          <w:vertAlign w:val="superscript"/>
        </w:rPr>
        <w:t xml:space="preserve">st</w:t>
      </w:r>
      <w:r>
        <w:rPr>
          <w:rFonts w:ascii="Times New Roman" w:hAnsi="Times New Roman" w:cs="Times New Roman" w:eastAsia="Times New Roman"/>
          <w:color w:val="auto"/>
          <w:spacing w:val="0"/>
          <w:position w:val="0"/>
          <w:sz w:val="24"/>
          <w:shd w:fill="FFFF00" w:val="clear"/>
        </w:rPr>
        <w:t xml:space="preserve"> Degree</w:t>
      </w:r>
      <w:r>
        <w:rPr>
          <w:rFonts w:ascii="Times New Roman" w:hAnsi="Times New Roman" w:cs="Times New Roman" w:eastAsia="Times New Roman"/>
          <w:color w:val="auto"/>
          <w:spacing w:val="0"/>
          <w:position w:val="0"/>
          <w:sz w:val="24"/>
          <w:shd w:fill="auto" w:val="clear"/>
        </w:rPr>
        <w:t xml:space="preserve"> (the “</w:t>
      </w:r>
      <w:r>
        <w:rPr>
          <w:rFonts w:ascii="Times New Roman" w:hAnsi="Times New Roman" w:cs="Times New Roman" w:eastAsia="Times New Roman"/>
          <w:b/>
          <w:color w:val="auto"/>
          <w:spacing w:val="0"/>
          <w:position w:val="0"/>
          <w:sz w:val="24"/>
          <w:shd w:fill="auto" w:val="clear"/>
        </w:rPr>
        <w:t xml:space="preserve">Subject Offenses</w:t>
      </w:r>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subject of this investigation is </w:t>
      </w:r>
      <w:r>
        <w:rPr>
          <w:rFonts w:ascii="Times New Roman" w:hAnsi="Times New Roman" w:cs="Times New Roman" w:eastAsia="Times New Roman"/>
          <w:color w:val="auto"/>
          <w:spacing w:val="0"/>
          <w:position w:val="0"/>
          <w:sz w:val="24"/>
          <w:shd w:fill="FFFF00" w:val="clear"/>
        </w:rPr>
        <w:t xml:space="preserve">Courtez L. McGee. McGee is described as a black male. His date of birth is July 20, 2005.  He lives at 1000 South Locust Street, Charleston, Missouri (the “Subject.”)</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Devices to be Searched and Seized:</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user attribution data including, but not limited to, user accounts, e-mail accounts, passwords, PIN codes, patterns, account names, user names, screen names, remote data storage accounts, documents, files, metadata, or any other information and evidence that may demonstrate attribution to a particular user or users; </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records, documents, and other items that may constitute evidence, contraband, fruits, and/or instrumentalities of violations of crimes, including but not limited to the crime(s) listed;</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contact lists, call logs, text messages and multimedia messages (SMS and MMS messages), e-mails, chats, video conference communication data, contact information, installed application information including their content and any other information which can be used to identify potentially associated persons;  </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passwords, password files, PIN codes, encryption codes, or other information necessary to access the digital device or data stored on the digital device such as hidden file applications;</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documents, programs, pictures, videos, audio files, text files, databases, application data, calendar entries, user dictionaries, malware, viruses, tracking or other remote monitoring software, and any associated metadata; </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web browser history, web browser bookmarks, temporary Internet files, cookies, searched items, downloaded and uploaded files, social networking websites or applications;</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data stored on removable media such as Subscriber Identity Modules (SIM cards), flash memory storage devices such as Secure Digital (SD) and Micro SD media cards and any associated wireless devices (Bluetooth, Wi-Fi, or other technology);</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Live and deleted data from cloud based servers associated with accounts located on this device.</w:t>
      </w:r>
    </w:p>
    <w:p>
      <w:pPr>
        <w:numPr>
          <w:ilvl w:val="0"/>
          <w:numId w:val="128"/>
        </w:num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also understand that in order to successfully complete a forensic extraction from a mobile device, it may be necessary to repair the device, replace the display screen, replace the chassis, replace the battery, and repair or replace switches and other components that are necessary to make the device operational. I also understand that it may be necessary to employ advanced forensic processes to bypass locked display screens and other data access restrictions. Advanced processes may include, but are not limited to, bruit force attack methods, third party proprietary services and methods and destructive and potentially destructive processes such as gaining root and/or Super user level access and employing methods such as JTAG, ISP-JTAG and chip-off in order to extract data.</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executing law enforcement officer(s) may enlist the aid of a law enforcement computer forensic laboratory and/or certified digital evidence examiner(s) in the searching, viewing, photographing, recording, copying, forensic imagining, and analysis of all of the information described.</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WHEREAS, the Judge of this Court, from the sworn allegations of said complaint and from the supporting written affidavit filed therewith, has found probable cause to believe the allegations of the complaint to be true and that probable cause exists for the issuance of a search warrant herein.</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uppressLineNumber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NOW, THEREFORE, you are directed to execute this search warrant within ten (10) days of issuance, and make return of this warrant to this Court.</w:t>
      </w:r>
    </w:p>
    <w:p>
      <w:pPr>
        <w:suppressLineNumbers w:val="true"/>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uppressLineNumbers w:val="true"/>
        <w:spacing w:before="0" w:after="0" w:line="36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Witness my hand and the seal of this Court </w:t>
      </w:r>
      <w:r>
        <w:rPr>
          <w:rFonts w:ascii="Times New Roman" w:hAnsi="Times New Roman" w:cs="Times New Roman" w:eastAsia="Times New Roman"/>
          <w:color w:val="auto"/>
          <w:spacing w:val="0"/>
          <w:position w:val="0"/>
          <w:sz w:val="24"/>
          <w:shd w:fill="FFFF00" w:val="clear"/>
        </w:rPr>
        <w:t xml:space="preserve">on this 7</w:t>
      </w:r>
      <w:r>
        <w:rPr>
          <w:rFonts w:ascii="Times New Roman" w:hAnsi="Times New Roman" w:cs="Times New Roman" w:eastAsia="Times New Roman"/>
          <w:color w:val="auto"/>
          <w:spacing w:val="0"/>
          <w:position w:val="0"/>
          <w:sz w:val="24"/>
          <w:shd w:fill="FFFF00" w:val="clear"/>
          <w:vertAlign w:val="superscript"/>
        </w:rPr>
        <w:t xml:space="preserve">th</w:t>
      </w:r>
      <w:r>
        <w:rPr>
          <w:rFonts w:ascii="Times New Roman" w:hAnsi="Times New Roman" w:cs="Times New Roman" w:eastAsia="Times New Roman"/>
          <w:color w:val="auto"/>
          <w:spacing w:val="0"/>
          <w:position w:val="0"/>
          <w:sz w:val="24"/>
          <w:shd w:fill="FFFF00" w:val="clear"/>
        </w:rPr>
        <w:t xml:space="preserve"> day of July, 2022</w:t>
      </w:r>
      <w:r>
        <w:rPr>
          <w:rFonts w:ascii="Times New Roman" w:hAnsi="Times New Roman" w:cs="Times New Roman" w:eastAsia="Times New Roman"/>
          <w:color w:val="auto"/>
          <w:spacing w:val="0"/>
          <w:position w:val="0"/>
          <w:sz w:val="24"/>
          <w:shd w:fill="auto" w:val="clear"/>
        </w:rPr>
        <w:t xml:space="preserve">. </w:t>
      </w:r>
    </w:p>
    <w:p>
      <w:pPr>
        <w:suppressLineNumbers w:val="true"/>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uppressLineNumbers w:val="true"/>
        <w:spacing w:before="0" w:after="0" w:line="360"/>
        <w:ind w:right="0" w:left="0" w:firstLine="0"/>
        <w:jc w:val="both"/>
        <w:rPr>
          <w:rFonts w:ascii="Times New Roman" w:hAnsi="Times New Roman" w:cs="Times New Roman" w:eastAsia="Times New Roman"/>
          <w:color w:val="auto"/>
          <w:spacing w:val="0"/>
          <w:position w:val="0"/>
          <w:sz w:val="24"/>
          <w:shd w:fill="auto" w:val="clear"/>
        </w:rPr>
      </w:pPr>
    </w:p>
    <w:p>
      <w:pPr>
        <w:suppressLineNumbers w:val="true"/>
        <w:spacing w:before="0" w:after="0" w:line="240"/>
        <w:ind w:right="0" w:left="360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__________________________________</w:t>
      </w:r>
    </w:p>
    <w:p>
      <w:pPr>
        <w:suppressLineNumbers w:val="true"/>
        <w:spacing w:before="0" w:after="0" w:line="240"/>
        <w:ind w:right="0" w:left="576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Circuit / Associate Circuit Judge</w:t>
      </w:r>
    </w:p>
    <w:p>
      <w:pPr>
        <w:suppressLineNumbers w:val="true"/>
        <w:tabs>
          <w:tab w:val="center" w:pos="8640"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ab/>
      </w:r>
      <w:r>
        <w:rPr>
          <w:rFonts w:ascii="Times New Roman" w:hAnsi="Times New Roman" w:cs="Times New Roman" w:eastAsia="Times New Roman"/>
          <w:color w:val="auto"/>
          <w:spacing w:val="0"/>
          <w:position w:val="0"/>
          <w:sz w:val="24"/>
          <w:shd w:fill="FFFF00" w:val="clear"/>
        </w:rPr>
        <w:t xml:space="preserve">33</w:t>
      </w:r>
      <w:r>
        <w:rPr>
          <w:rFonts w:ascii="Times New Roman" w:hAnsi="Times New Roman" w:cs="Times New Roman" w:eastAsia="Times New Roman"/>
          <w:color w:val="auto"/>
          <w:spacing w:val="0"/>
          <w:position w:val="0"/>
          <w:sz w:val="24"/>
          <w:shd w:fill="FFFF00" w:val="clear"/>
          <w:vertAlign w:val="superscript"/>
        </w:rPr>
        <w:t xml:space="preserve">rd</w:t>
      </w:r>
      <w:r>
        <w:rPr>
          <w:rFonts w:ascii="Times New Roman" w:hAnsi="Times New Roman" w:cs="Times New Roman" w:eastAsia="Times New Roman"/>
          <w:color w:val="auto"/>
          <w:spacing w:val="0"/>
          <w:position w:val="0"/>
          <w:sz w:val="24"/>
          <w:shd w:fill="FFFF00" w:val="clear"/>
        </w:rPr>
        <w:t xml:space="preserve"> Circuit Court in Scott County, Missouri</w:t>
      </w:r>
    </w:p>
    <w:p>
      <w:pPr>
        <w:suppressLineNumber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TIME: </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num w:numId="27">
    <w:abstractNumId w:val="102"/>
  </w:num>
  <w:num w:numId="29">
    <w:abstractNumId w:val="96"/>
  </w:num>
  <w:num w:numId="31">
    <w:abstractNumId w:val="90"/>
  </w:num>
  <w:num w:numId="33">
    <w:abstractNumId w:val="84"/>
  </w:num>
  <w:num w:numId="35">
    <w:abstractNumId w:val="78"/>
  </w:num>
  <w:num w:numId="39">
    <w:abstractNumId w:val="72"/>
  </w:num>
  <w:num w:numId="41">
    <w:abstractNumId w:val="66"/>
  </w:num>
  <w:num w:numId="43">
    <w:abstractNumId w:val="60"/>
  </w:num>
  <w:num w:numId="45">
    <w:abstractNumId w:val="54"/>
  </w:num>
  <w:num w:numId="47">
    <w:abstractNumId w:val="48"/>
  </w:num>
  <w:num w:numId="50">
    <w:abstractNumId w:val="42"/>
  </w:num>
  <w:num w:numId="52">
    <w:abstractNumId w:val="36"/>
  </w:num>
  <w:num w:numId="54">
    <w:abstractNumId w:val="30"/>
  </w:num>
  <w:num w:numId="56">
    <w:abstractNumId w:val="24"/>
  </w:num>
  <w:num w:numId="58">
    <w:abstractNumId w:val="18"/>
  </w:num>
  <w:num w:numId="62">
    <w:abstractNumId w:val="12"/>
  </w:num>
  <w:num w:numId="64">
    <w:abstractNumId w:val="6"/>
  </w:num>
  <w:num w:numId="12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