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D79F5" w14:textId="77777777" w:rsidR="00275325" w:rsidRDefault="005C749E">
      <w:pPr>
        <w:spacing w:before="1600"/>
      </w:pPr>
      <w:r>
        <w:rPr>
          <w:rFonts w:ascii="Aptos Display" w:hAnsi="Aptos Display"/>
          <w:b/>
          <w:color w:val="1F4E79"/>
          <w:sz w:val="30"/>
        </w:rPr>
        <w:t>PHIL 205</w:t>
      </w:r>
    </w:p>
    <w:p w14:paraId="2B5C86E5" w14:textId="77777777" w:rsidR="00275325" w:rsidRDefault="005C749E">
      <w:pPr>
        <w:pStyle w:val="Title"/>
      </w:pPr>
      <w:r>
        <w:t>Learning Target Case and</w:t>
      </w:r>
      <w:r>
        <w:br/>
        <w:t>Student-Response Bank</w:t>
      </w:r>
    </w:p>
    <w:p w14:paraId="17AFBF55" w14:textId="77777777" w:rsidR="00275325" w:rsidRDefault="005C749E">
      <w:pPr>
        <w:spacing w:after="200"/>
      </w:pPr>
      <w:r>
        <w:rPr>
          <w:color w:val="5A5A5A"/>
          <w:sz w:val="24"/>
        </w:rPr>
        <w:t>Unsettled, practically sufficient, and borderline cases for all eight learning targets</w:t>
      </w:r>
    </w:p>
    <w:p w14:paraId="4C4BE5F0" w14:textId="77777777" w:rsidR="00275325" w:rsidRDefault="005C749E">
      <w:pPr>
        <w:spacing w:before="280" w:after="60"/>
      </w:pPr>
      <w:r>
        <w:rPr>
          <w:b/>
        </w:rPr>
        <w:t>Companion to: PHIL 205 Learning Target Diagnostic Specifications</w:t>
      </w:r>
    </w:p>
    <w:p w14:paraId="16C0FBA9" w14:textId="77777777" w:rsidR="00275325" w:rsidRDefault="005C749E">
      <w:r>
        <w:rPr>
          <w:color w:val="5A5A5A"/>
        </w:rPr>
        <w:t>Target 3 aligned with: What Does That Condition Let Us Conclude?</w:t>
      </w:r>
    </w:p>
    <w:p w14:paraId="04834336" w14:textId="77777777" w:rsidR="00275325" w:rsidRDefault="005C749E">
      <w:r>
        <w:rPr>
          <w:color w:val="5A5A5A"/>
        </w:rPr>
        <w:t>Fall 2026 | Target 3 revised September 23, 2026</w:t>
      </w:r>
    </w:p>
    <w:p w14:paraId="3AB626AA" w14:textId="77777777" w:rsidR="00275325" w:rsidRDefault="005C749E">
      <w:r>
        <w:br w:type="page"/>
      </w:r>
    </w:p>
    <w:p w14:paraId="78F61C80" w14:textId="77777777" w:rsidR="00275325" w:rsidRDefault="005C749E">
      <w:pPr>
        <w:pStyle w:val="Heading1"/>
      </w:pPr>
      <w:r>
        <w:lastRenderedPageBreak/>
        <w:t>How to Use This Bank</w:t>
      </w:r>
    </w:p>
    <w:p w14:paraId="14B0450D" w14:textId="77777777" w:rsidR="00275325" w:rsidRDefault="005C749E">
      <w:r>
        <w:t>Each learning target includes three cases designed to mark the evaluation boundary: one case in which a target-specific question is clearly needed, one case in which the evidence or reasoning is practically sufficient for the stated inference, and one case designed to tempt students into demanding more than good reasoning requires. The sample student responses under each target all answer that target's clearly unsettled case.</w:t>
      </w:r>
    </w:p>
    <w:tbl>
      <w:tblPr>
        <w:tblStyle w:val="TableGrid"/>
        <w:tblW w:w="0" w:type="auto"/>
        <w:jc w:val="center"/>
        <w:tblLayout w:type="fixed"/>
        <w:tblLook w:val="04A0" w:firstRow="1" w:lastRow="0" w:firstColumn="1" w:lastColumn="0" w:noHBand="0" w:noVBand="1"/>
      </w:tblPr>
      <w:tblGrid>
        <w:gridCol w:w="2880"/>
        <w:gridCol w:w="8063"/>
      </w:tblGrid>
      <w:tr w:rsidR="00275325" w14:paraId="5A3DEA4C" w14:textId="77777777">
        <w:trPr>
          <w:tblHeader/>
          <w:jc w:val="center"/>
        </w:trPr>
        <w:tc>
          <w:tcPr>
            <w:tcW w:w="2880" w:type="dxa"/>
            <w:shd w:val="clear" w:color="auto" w:fill="1F4E79"/>
            <w:tcMar>
              <w:top w:w="90" w:type="dxa"/>
              <w:left w:w="100" w:type="dxa"/>
              <w:bottom w:w="90" w:type="dxa"/>
              <w:right w:w="100" w:type="dxa"/>
            </w:tcMar>
          </w:tcPr>
          <w:p w14:paraId="4955C296" w14:textId="77777777" w:rsidR="00275325" w:rsidRDefault="005C749E">
            <w:r>
              <w:rPr>
                <w:b/>
                <w:color w:val="FFFFFF"/>
              </w:rPr>
              <w:t>Label</w:t>
            </w:r>
          </w:p>
        </w:tc>
        <w:tc>
          <w:tcPr>
            <w:tcW w:w="8063" w:type="dxa"/>
            <w:shd w:val="clear" w:color="auto" w:fill="1F4E79"/>
            <w:tcMar>
              <w:top w:w="90" w:type="dxa"/>
              <w:left w:w="100" w:type="dxa"/>
              <w:bottom w:w="90" w:type="dxa"/>
              <w:right w:w="100" w:type="dxa"/>
            </w:tcMar>
          </w:tcPr>
          <w:p w14:paraId="7A16DD8A" w14:textId="77777777" w:rsidR="00275325" w:rsidRDefault="005C749E">
            <w:r>
              <w:rPr>
                <w:b/>
                <w:color w:val="FFFFFF"/>
              </w:rPr>
              <w:t>Use in evaluation</w:t>
            </w:r>
          </w:p>
        </w:tc>
      </w:tr>
      <w:tr w:rsidR="00275325" w14:paraId="16E826E4" w14:textId="77777777">
        <w:trPr>
          <w:cantSplit/>
          <w:jc w:val="center"/>
        </w:trPr>
        <w:tc>
          <w:tcPr>
            <w:tcW w:w="2880" w:type="dxa"/>
            <w:shd w:val="clear" w:color="auto" w:fill="FFFFFF"/>
            <w:tcMar>
              <w:top w:w="90" w:type="dxa"/>
              <w:left w:w="100" w:type="dxa"/>
              <w:bottom w:w="90" w:type="dxa"/>
              <w:right w:w="100" w:type="dxa"/>
            </w:tcMar>
          </w:tcPr>
          <w:p w14:paraId="1452467F" w14:textId="77777777" w:rsidR="00275325" w:rsidRDefault="005C749E">
            <w:r>
              <w:rPr>
                <w:b/>
                <w:color w:val="1F4E79"/>
              </w:rPr>
              <w:t>Strong</w:t>
            </w:r>
          </w:p>
        </w:tc>
        <w:tc>
          <w:tcPr>
            <w:tcW w:w="8063" w:type="dxa"/>
            <w:shd w:val="clear" w:color="auto" w:fill="FFFFFF"/>
            <w:tcMar>
              <w:top w:w="90" w:type="dxa"/>
              <w:left w:w="100" w:type="dxa"/>
              <w:bottom w:w="90" w:type="dxa"/>
              <w:right w:w="100" w:type="dxa"/>
            </w:tcMar>
          </w:tcPr>
          <w:p w14:paraId="3367244B" w14:textId="77777777" w:rsidR="00275325" w:rsidRDefault="005C749E">
            <w:r>
              <w:t>Locates the inferential hinge directly and with enough specificity to show the target-specific cognitive operation.</w:t>
            </w:r>
          </w:p>
        </w:tc>
      </w:tr>
      <w:tr w:rsidR="00275325" w14:paraId="7CCFB7AC" w14:textId="77777777">
        <w:trPr>
          <w:cantSplit/>
          <w:jc w:val="center"/>
        </w:trPr>
        <w:tc>
          <w:tcPr>
            <w:tcW w:w="2880" w:type="dxa"/>
            <w:shd w:val="clear" w:color="auto" w:fill="F2F2F2"/>
            <w:tcMar>
              <w:top w:w="90" w:type="dxa"/>
              <w:left w:w="100" w:type="dxa"/>
              <w:bottom w:w="90" w:type="dxa"/>
              <w:right w:w="100" w:type="dxa"/>
            </w:tcMar>
          </w:tcPr>
          <w:p w14:paraId="6328C3E8" w14:textId="77777777" w:rsidR="00275325" w:rsidRDefault="005C749E">
            <w:r>
              <w:rPr>
                <w:b/>
                <w:color w:val="1F4E79"/>
              </w:rPr>
              <w:t>Broad but incomplete</w:t>
            </w:r>
          </w:p>
        </w:tc>
        <w:tc>
          <w:tcPr>
            <w:tcW w:w="8063" w:type="dxa"/>
            <w:shd w:val="clear" w:color="auto" w:fill="F2F2F2"/>
            <w:tcMar>
              <w:top w:w="90" w:type="dxa"/>
              <w:left w:w="100" w:type="dxa"/>
              <w:bottom w:w="90" w:type="dxa"/>
              <w:right w:w="100" w:type="dxa"/>
            </w:tcMar>
          </w:tcPr>
          <w:p w14:paraId="2DF07546" w14:textId="77777777" w:rsidR="00275325" w:rsidRDefault="005C749E">
            <w:r>
              <w:t>Shows that the student senses friction, but does not yet identify the missing relationship or information.</w:t>
            </w:r>
          </w:p>
        </w:tc>
      </w:tr>
      <w:tr w:rsidR="00275325" w14:paraId="0967F49E" w14:textId="77777777">
        <w:trPr>
          <w:cantSplit/>
          <w:jc w:val="center"/>
        </w:trPr>
        <w:tc>
          <w:tcPr>
            <w:tcW w:w="2880" w:type="dxa"/>
            <w:shd w:val="clear" w:color="auto" w:fill="FFFFFF"/>
            <w:tcMar>
              <w:top w:w="90" w:type="dxa"/>
              <w:left w:w="100" w:type="dxa"/>
              <w:bottom w:w="90" w:type="dxa"/>
              <w:right w:w="100" w:type="dxa"/>
            </w:tcMar>
          </w:tcPr>
          <w:p w14:paraId="47C638FF" w14:textId="77777777" w:rsidR="00275325" w:rsidRDefault="005C749E">
            <w:r>
              <w:rPr>
                <w:b/>
                <w:color w:val="1F4E79"/>
              </w:rPr>
              <w:t>Nitpicky</w:t>
            </w:r>
          </w:p>
        </w:tc>
        <w:tc>
          <w:tcPr>
            <w:tcW w:w="8063" w:type="dxa"/>
            <w:shd w:val="clear" w:color="auto" w:fill="FFFFFF"/>
            <w:tcMar>
              <w:top w:w="90" w:type="dxa"/>
              <w:left w:w="100" w:type="dxa"/>
              <w:bottom w:w="90" w:type="dxa"/>
              <w:right w:w="100" w:type="dxa"/>
            </w:tcMar>
          </w:tcPr>
          <w:p w14:paraId="1A855DB0" w14:textId="77777777" w:rsidR="00275325" w:rsidRDefault="005C749E">
            <w:r>
              <w:t>Raises a possible question that would not ordinarily change the inference or asks for more precision than the task requires.</w:t>
            </w:r>
          </w:p>
        </w:tc>
      </w:tr>
      <w:tr w:rsidR="00275325" w14:paraId="760E8B29" w14:textId="77777777">
        <w:trPr>
          <w:cantSplit/>
          <w:jc w:val="center"/>
        </w:trPr>
        <w:tc>
          <w:tcPr>
            <w:tcW w:w="2880" w:type="dxa"/>
            <w:shd w:val="clear" w:color="auto" w:fill="F2F2F2"/>
            <w:tcMar>
              <w:top w:w="90" w:type="dxa"/>
              <w:left w:w="100" w:type="dxa"/>
              <w:bottom w:w="90" w:type="dxa"/>
              <w:right w:w="100" w:type="dxa"/>
            </w:tcMar>
          </w:tcPr>
          <w:p w14:paraId="74201668" w14:textId="77777777" w:rsidR="00275325" w:rsidRDefault="005C749E">
            <w:r>
              <w:rPr>
                <w:b/>
                <w:color w:val="1F4E79"/>
              </w:rPr>
              <w:t>Differently worded but acceptable</w:t>
            </w:r>
          </w:p>
        </w:tc>
        <w:tc>
          <w:tcPr>
            <w:tcW w:w="8063" w:type="dxa"/>
            <w:shd w:val="clear" w:color="auto" w:fill="F2F2F2"/>
            <w:tcMar>
              <w:top w:w="90" w:type="dxa"/>
              <w:left w:w="100" w:type="dxa"/>
              <w:bottom w:w="90" w:type="dxa"/>
              <w:right w:w="100" w:type="dxa"/>
            </w:tcMar>
          </w:tcPr>
          <w:p w14:paraId="0E0878CA" w14:textId="77777777" w:rsidR="00275325" w:rsidRDefault="005C749E">
            <w:r>
              <w:t>Uses non-canonical wording but performs the same diagnostic function as a strong response.</w:t>
            </w:r>
          </w:p>
        </w:tc>
      </w:tr>
    </w:tbl>
    <w:p w14:paraId="26FDA36D" w14:textId="77777777" w:rsidR="00275325" w:rsidRDefault="005C749E">
      <w:pPr>
        <w:spacing w:before="160" w:after="40"/>
      </w:pPr>
      <w:r>
        <w:rPr>
          <w:b/>
        </w:rPr>
        <w:t xml:space="preserve">Design principle: </w:t>
      </w:r>
      <w:r>
        <w:t>The borderline cases are not trick cases in which nothing could possibly be questioned. They are cases in which further questions are logically available but should not be required because the target-specific structure is already sufficient for the ordinary inference being made.</w:t>
      </w:r>
    </w:p>
    <w:p w14:paraId="6B734611" w14:textId="77777777" w:rsidR="00275325" w:rsidRDefault="005C749E">
      <w:pPr>
        <w:spacing w:before="160" w:after="40"/>
      </w:pPr>
      <w:r>
        <w:rPr>
          <w:b/>
        </w:rPr>
        <w:t xml:space="preserve">Target 3 update: </w:t>
      </w:r>
      <w:r>
        <w:t>Target 3 now concerns what follows from a stated conditional. Use the revised section in this bank with What Does That Condition Let Us Conclude?, rather than earlier Target 3 guidance in the companion specifications. Keep the stated rule and facts fixed. Distinguish a conclusion that follows, one that remains open, and one that conflicts with the premises. Do not require a diagnostic question when the rule already settles the answer.</w:t>
      </w:r>
    </w:p>
    <w:p w14:paraId="4053E03A" w14:textId="77777777" w:rsidR="00275325" w:rsidRDefault="005C749E">
      <w:r>
        <w:br w:type="page"/>
      </w:r>
    </w:p>
    <w:p w14:paraId="6CCDFA31" w14:textId="77777777" w:rsidR="00275325" w:rsidRDefault="005C749E">
      <w:pPr>
        <w:pStyle w:val="Heading1"/>
      </w:pPr>
      <w:r>
        <w:lastRenderedPageBreak/>
        <w:t>Learning Target 1: Seeing when language is not yet usable</w:t>
      </w:r>
    </w:p>
    <w:p w14:paraId="350423EF" w14:textId="77777777" w:rsidR="00275325" w:rsidRDefault="005C749E">
      <w:pPr>
        <w:pStyle w:val="Reflex"/>
      </w:pPr>
      <w:r>
        <w:rPr>
          <w:b/>
          <w:i w:val="0"/>
          <w:color w:val="1F4E79"/>
        </w:rPr>
        <w:t xml:space="preserve">Student reflex: </w:t>
      </w:r>
      <w:r>
        <w:t>What exactly does that mean? How are they determining that?</w:t>
      </w:r>
    </w:p>
    <w:p w14:paraId="7AE364A8" w14:textId="77777777" w:rsidR="00275325" w:rsidRDefault="005C749E">
      <w:pPr>
        <w:pStyle w:val="Heading2"/>
      </w:pPr>
      <w:r>
        <w:t>Three Cases</w:t>
      </w:r>
    </w:p>
    <w:tbl>
      <w:tblPr>
        <w:tblStyle w:val="TableGrid"/>
        <w:tblW w:w="0" w:type="auto"/>
        <w:jc w:val="center"/>
        <w:tblLayout w:type="fixed"/>
        <w:tblLook w:val="04A0" w:firstRow="1" w:lastRow="0" w:firstColumn="1" w:lastColumn="0" w:noHBand="0" w:noVBand="1"/>
      </w:tblPr>
      <w:tblGrid>
        <w:gridCol w:w="2376"/>
        <w:gridCol w:w="8568"/>
      </w:tblGrid>
      <w:tr w:rsidR="00275325" w14:paraId="5BFB3BC6" w14:textId="77777777">
        <w:trPr>
          <w:tblHeader/>
          <w:jc w:val="center"/>
        </w:trPr>
        <w:tc>
          <w:tcPr>
            <w:tcW w:w="2376" w:type="dxa"/>
            <w:shd w:val="clear" w:color="auto" w:fill="1F4E79"/>
            <w:tcMar>
              <w:top w:w="90" w:type="dxa"/>
              <w:left w:w="100" w:type="dxa"/>
              <w:bottom w:w="90" w:type="dxa"/>
              <w:right w:w="100" w:type="dxa"/>
            </w:tcMar>
          </w:tcPr>
          <w:p w14:paraId="00998343" w14:textId="77777777" w:rsidR="00275325" w:rsidRDefault="005C749E">
            <w:r>
              <w:rPr>
                <w:b/>
                <w:color w:val="FFFFFF"/>
                <w:sz w:val="20"/>
              </w:rPr>
              <w:t>Case</w:t>
            </w:r>
          </w:p>
        </w:tc>
        <w:tc>
          <w:tcPr>
            <w:tcW w:w="8568" w:type="dxa"/>
            <w:shd w:val="clear" w:color="auto" w:fill="1F4E79"/>
            <w:tcMar>
              <w:top w:w="90" w:type="dxa"/>
              <w:left w:w="100" w:type="dxa"/>
              <w:bottom w:w="90" w:type="dxa"/>
              <w:right w:w="100" w:type="dxa"/>
            </w:tcMar>
          </w:tcPr>
          <w:p w14:paraId="1C4D4921" w14:textId="77777777" w:rsidR="00275325" w:rsidRDefault="005C749E">
            <w:r>
              <w:rPr>
                <w:b/>
                <w:color w:val="FFFFFF"/>
                <w:sz w:val="20"/>
              </w:rPr>
              <w:t>Prompt and instructor note</w:t>
            </w:r>
          </w:p>
        </w:tc>
      </w:tr>
      <w:tr w:rsidR="00275325" w14:paraId="655F7D28" w14:textId="77777777">
        <w:trPr>
          <w:cantSplit/>
          <w:jc w:val="center"/>
        </w:trPr>
        <w:tc>
          <w:tcPr>
            <w:tcW w:w="2376" w:type="dxa"/>
            <w:shd w:val="clear" w:color="auto" w:fill="D9EAF7"/>
            <w:tcMar>
              <w:top w:w="90" w:type="dxa"/>
              <w:left w:w="110" w:type="dxa"/>
              <w:bottom w:w="90" w:type="dxa"/>
              <w:right w:w="110" w:type="dxa"/>
            </w:tcMar>
          </w:tcPr>
          <w:p w14:paraId="5030F687" w14:textId="77777777" w:rsidR="00275325" w:rsidRDefault="005C749E">
            <w:pPr>
              <w:spacing w:after="0"/>
            </w:pPr>
            <w:r>
              <w:rPr>
                <w:b/>
                <w:color w:val="1F4E79"/>
              </w:rPr>
              <w:t>Clearly unsettled</w:t>
            </w:r>
          </w:p>
        </w:tc>
        <w:tc>
          <w:tcPr>
            <w:tcW w:w="8568" w:type="dxa"/>
            <w:shd w:val="clear" w:color="auto" w:fill="D9EAF7"/>
            <w:tcMar>
              <w:top w:w="90" w:type="dxa"/>
              <w:left w:w="110" w:type="dxa"/>
              <w:bottom w:w="90" w:type="dxa"/>
              <w:right w:w="110" w:type="dxa"/>
            </w:tcMar>
          </w:tcPr>
          <w:p w14:paraId="016E883E" w14:textId="77777777" w:rsidR="00275325" w:rsidRDefault="005C749E">
            <w:r>
              <w:t>The city says its new downtown safety plan is working because "serious disorder" fell by 28 percent from last year, so the plan should be expanded to two more districts.</w:t>
            </w:r>
          </w:p>
          <w:p w14:paraId="086D54EB" w14:textId="77777777" w:rsidR="00275325" w:rsidRDefault="005C749E">
            <w:pPr>
              <w:spacing w:after="40"/>
            </w:pPr>
            <w:r>
              <w:rPr>
                <w:b/>
                <w:color w:val="1F4E79"/>
              </w:rPr>
              <w:t xml:space="preserve">Instructor note: </w:t>
            </w:r>
            <w:r>
              <w:rPr>
                <w:i/>
              </w:rPr>
              <w:t>The 28 percent figure cannot yet do the needed work because the load-bearing category "serious disorder" has not been specified. Different inclusion rules could materially change the reported change and the case for expansion.</w:t>
            </w:r>
          </w:p>
        </w:tc>
      </w:tr>
      <w:tr w:rsidR="00275325" w14:paraId="4BDD1868" w14:textId="77777777">
        <w:trPr>
          <w:cantSplit/>
          <w:jc w:val="center"/>
        </w:trPr>
        <w:tc>
          <w:tcPr>
            <w:tcW w:w="2376" w:type="dxa"/>
            <w:shd w:val="clear" w:color="auto" w:fill="FFFFFF"/>
            <w:tcMar>
              <w:top w:w="90" w:type="dxa"/>
              <w:left w:w="110" w:type="dxa"/>
              <w:bottom w:w="90" w:type="dxa"/>
              <w:right w:w="110" w:type="dxa"/>
            </w:tcMar>
          </w:tcPr>
          <w:p w14:paraId="1B515F4F" w14:textId="77777777" w:rsidR="00275325" w:rsidRDefault="005C749E">
            <w:pPr>
              <w:spacing w:after="0"/>
            </w:pPr>
            <w:r>
              <w:rPr>
                <w:b/>
                <w:color w:val="1F4E79"/>
              </w:rPr>
              <w:t>Practically sufficient</w:t>
            </w:r>
          </w:p>
        </w:tc>
        <w:tc>
          <w:tcPr>
            <w:tcW w:w="8568" w:type="dxa"/>
            <w:shd w:val="clear" w:color="auto" w:fill="FFFFFF"/>
            <w:tcMar>
              <w:top w:w="90" w:type="dxa"/>
              <w:left w:w="110" w:type="dxa"/>
              <w:bottom w:w="90" w:type="dxa"/>
              <w:right w:w="110" w:type="dxa"/>
            </w:tcMar>
          </w:tcPr>
          <w:p w14:paraId="1BC2078F" w14:textId="77777777" w:rsidR="00275325" w:rsidRDefault="005C749E">
            <w:r>
              <w:t>The city defines "serious disorder" for this report as police incidents coded assault, vandalism, or property destruction. Using the same coding rules and the same January-June period in both years, incidents fell from 8.2 to 5.9 per 1,000 downtown visits. The city concludes that reported serious-disorder incidents decreased under that measure.</w:t>
            </w:r>
          </w:p>
          <w:p w14:paraId="7DA8B2B7" w14:textId="77777777" w:rsidR="00275325" w:rsidRDefault="005C749E">
            <w:pPr>
              <w:spacing w:after="40"/>
            </w:pPr>
            <w:r>
              <w:rPr>
                <w:b/>
                <w:color w:val="1F4E79"/>
              </w:rPr>
              <w:t xml:space="preserve">Instructor note: </w:t>
            </w:r>
            <w:r>
              <w:rPr>
                <w:i/>
              </w:rPr>
              <w:t>The category, procedure, denominator, and time frame are specified well enough for the modest descriptive conclusion. Other questions may remain, but no important Target 1 clarification is needed.</w:t>
            </w:r>
          </w:p>
        </w:tc>
      </w:tr>
      <w:tr w:rsidR="00275325" w14:paraId="3865F634" w14:textId="77777777">
        <w:trPr>
          <w:cantSplit/>
          <w:jc w:val="center"/>
        </w:trPr>
        <w:tc>
          <w:tcPr>
            <w:tcW w:w="2376" w:type="dxa"/>
            <w:shd w:val="clear" w:color="auto" w:fill="EEF5FA"/>
            <w:tcMar>
              <w:top w:w="90" w:type="dxa"/>
              <w:left w:w="110" w:type="dxa"/>
              <w:bottom w:w="90" w:type="dxa"/>
              <w:right w:w="110" w:type="dxa"/>
            </w:tcMar>
          </w:tcPr>
          <w:p w14:paraId="7BFE266B" w14:textId="77777777" w:rsidR="00275325" w:rsidRDefault="005C749E">
            <w:pPr>
              <w:spacing w:after="0"/>
            </w:pPr>
            <w:r>
              <w:rPr>
                <w:b/>
                <w:color w:val="1F4E79"/>
              </w:rPr>
              <w:t>Borderline / tempting to nitpick</w:t>
            </w:r>
          </w:p>
        </w:tc>
        <w:tc>
          <w:tcPr>
            <w:tcW w:w="8568" w:type="dxa"/>
            <w:shd w:val="clear" w:color="auto" w:fill="EEF5FA"/>
            <w:tcMar>
              <w:top w:w="90" w:type="dxa"/>
              <w:left w:w="110" w:type="dxa"/>
              <w:bottom w:w="90" w:type="dxa"/>
              <w:right w:w="110" w:type="dxa"/>
            </w:tcMar>
          </w:tcPr>
          <w:p w14:paraId="6014D280" w14:textId="77777777" w:rsidR="00275325" w:rsidRDefault="005C749E">
            <w:r>
              <w:t>A library reports that weekend attendance increased 11 percent after extending Saturday hours. Attendance is measured by the same entrance-counter system before and after the change, and the claim is only that recorded visits increased.</w:t>
            </w:r>
          </w:p>
          <w:p w14:paraId="19DC6D9E" w14:textId="77777777" w:rsidR="00275325" w:rsidRDefault="005C749E">
            <w:pPr>
              <w:spacing w:after="40"/>
            </w:pPr>
            <w:r>
              <w:rPr>
                <w:b/>
                <w:color w:val="1F4E79"/>
              </w:rPr>
              <w:t xml:space="preserve">Instructor note: </w:t>
            </w:r>
            <w:r>
              <w:rPr>
                <w:i/>
              </w:rPr>
              <w:t>A student could ask whether one person who leaves and re-enters is counted twice, but the ordinary operational rule is already clear enough for this modest claim unless there is reason to think repeat entries materially drive the result.</w:t>
            </w:r>
          </w:p>
        </w:tc>
      </w:tr>
    </w:tbl>
    <w:p w14:paraId="3AA2FE62" w14:textId="77777777" w:rsidR="00275325" w:rsidRDefault="00275325">
      <w:pPr>
        <w:spacing w:after="20"/>
      </w:pPr>
    </w:p>
    <w:p w14:paraId="1A05D91C" w14:textId="77777777" w:rsidR="00275325" w:rsidRDefault="005C749E">
      <w:pPr>
        <w:pStyle w:val="Heading2"/>
      </w:pPr>
      <w:r>
        <w:t>Sample Student Responses to the Clearly Unsettled Case</w:t>
      </w:r>
    </w:p>
    <w:tbl>
      <w:tblPr>
        <w:tblStyle w:val="TableGrid"/>
        <w:tblW w:w="0" w:type="auto"/>
        <w:jc w:val="center"/>
        <w:tblLayout w:type="fixed"/>
        <w:tblLook w:val="04A0" w:firstRow="1" w:lastRow="0" w:firstColumn="1" w:lastColumn="0" w:noHBand="0" w:noVBand="1"/>
      </w:tblPr>
      <w:tblGrid>
        <w:gridCol w:w="2088"/>
        <w:gridCol w:w="6120"/>
        <w:gridCol w:w="2736"/>
      </w:tblGrid>
      <w:tr w:rsidR="00275325" w14:paraId="4B3B674B" w14:textId="77777777">
        <w:trPr>
          <w:tblHeader/>
          <w:jc w:val="center"/>
        </w:trPr>
        <w:tc>
          <w:tcPr>
            <w:tcW w:w="2088" w:type="dxa"/>
            <w:shd w:val="clear" w:color="auto" w:fill="1F4E79"/>
            <w:tcMar>
              <w:top w:w="90" w:type="dxa"/>
              <w:left w:w="100" w:type="dxa"/>
              <w:bottom w:w="90" w:type="dxa"/>
              <w:right w:w="100" w:type="dxa"/>
            </w:tcMar>
          </w:tcPr>
          <w:p w14:paraId="6D66C30A" w14:textId="77777777" w:rsidR="00275325" w:rsidRDefault="005C749E">
            <w:r>
              <w:rPr>
                <w:b/>
                <w:color w:val="FFFFFF"/>
                <w:sz w:val="20"/>
              </w:rPr>
              <w:t>Response type</w:t>
            </w:r>
          </w:p>
        </w:tc>
        <w:tc>
          <w:tcPr>
            <w:tcW w:w="6120" w:type="dxa"/>
            <w:shd w:val="clear" w:color="auto" w:fill="1F4E79"/>
            <w:tcMar>
              <w:top w:w="90" w:type="dxa"/>
              <w:left w:w="100" w:type="dxa"/>
              <w:bottom w:w="90" w:type="dxa"/>
              <w:right w:w="100" w:type="dxa"/>
            </w:tcMar>
          </w:tcPr>
          <w:p w14:paraId="1A55357F" w14:textId="77777777" w:rsidR="00275325" w:rsidRDefault="005C749E">
            <w:r>
              <w:rPr>
                <w:b/>
                <w:color w:val="FFFFFF"/>
                <w:sz w:val="20"/>
              </w:rPr>
              <w:t>Sample student response</w:t>
            </w:r>
          </w:p>
        </w:tc>
        <w:tc>
          <w:tcPr>
            <w:tcW w:w="2736" w:type="dxa"/>
            <w:shd w:val="clear" w:color="auto" w:fill="1F4E79"/>
            <w:tcMar>
              <w:top w:w="90" w:type="dxa"/>
              <w:left w:w="100" w:type="dxa"/>
              <w:bottom w:w="90" w:type="dxa"/>
              <w:right w:w="100" w:type="dxa"/>
            </w:tcMar>
          </w:tcPr>
          <w:p w14:paraId="51F1FB1D" w14:textId="77777777" w:rsidR="00275325" w:rsidRDefault="005C749E">
            <w:r>
              <w:rPr>
                <w:b/>
                <w:color w:val="FFFFFF"/>
                <w:sz w:val="20"/>
              </w:rPr>
              <w:t>Evaluation</w:t>
            </w:r>
          </w:p>
        </w:tc>
      </w:tr>
      <w:tr w:rsidR="00275325" w14:paraId="579EE439" w14:textId="77777777">
        <w:trPr>
          <w:cantSplit/>
          <w:jc w:val="center"/>
        </w:trPr>
        <w:tc>
          <w:tcPr>
            <w:tcW w:w="2088" w:type="dxa"/>
            <w:shd w:val="clear" w:color="auto" w:fill="FFFFFF"/>
            <w:tcMar>
              <w:top w:w="80" w:type="dxa"/>
              <w:left w:w="95" w:type="dxa"/>
              <w:bottom w:w="80" w:type="dxa"/>
              <w:right w:w="95" w:type="dxa"/>
            </w:tcMar>
          </w:tcPr>
          <w:p w14:paraId="40F68755" w14:textId="77777777" w:rsidR="00275325" w:rsidRDefault="005C749E">
            <w:r>
              <w:rPr>
                <w:b/>
                <w:color w:val="1F4E79"/>
              </w:rPr>
              <w:t>Strong</w:t>
            </w:r>
          </w:p>
        </w:tc>
        <w:tc>
          <w:tcPr>
            <w:tcW w:w="6120" w:type="dxa"/>
            <w:shd w:val="clear" w:color="auto" w:fill="FFFFFF"/>
            <w:tcMar>
              <w:top w:w="80" w:type="dxa"/>
              <w:left w:w="95" w:type="dxa"/>
              <w:bottom w:w="80" w:type="dxa"/>
              <w:right w:w="95" w:type="dxa"/>
            </w:tcMar>
          </w:tcPr>
          <w:p w14:paraId="4CB28E9C" w14:textId="77777777" w:rsidR="00275325" w:rsidRDefault="005C749E">
            <w:r>
              <w:t>What incidents counted as "serious disorder," and were the same classification rules used in both years?</w:t>
            </w:r>
          </w:p>
        </w:tc>
        <w:tc>
          <w:tcPr>
            <w:tcW w:w="2736" w:type="dxa"/>
            <w:shd w:val="clear" w:color="auto" w:fill="FFFFFF"/>
            <w:tcMar>
              <w:top w:w="80" w:type="dxa"/>
              <w:left w:w="95" w:type="dxa"/>
              <w:bottom w:w="80" w:type="dxa"/>
              <w:right w:w="95" w:type="dxa"/>
            </w:tcMar>
          </w:tcPr>
          <w:p w14:paraId="7915E27E" w14:textId="77777777" w:rsidR="00275325" w:rsidRDefault="005C749E">
            <w:r>
              <w:rPr>
                <w:i/>
                <w:color w:val="5A5A5A"/>
              </w:rPr>
              <w:t>Directly targets the load-bearing category and its application.</w:t>
            </w:r>
          </w:p>
        </w:tc>
      </w:tr>
      <w:tr w:rsidR="00275325" w14:paraId="5E2F8C3B" w14:textId="77777777">
        <w:trPr>
          <w:cantSplit/>
          <w:jc w:val="center"/>
        </w:trPr>
        <w:tc>
          <w:tcPr>
            <w:tcW w:w="2088" w:type="dxa"/>
            <w:shd w:val="clear" w:color="auto" w:fill="F2F2F2"/>
            <w:tcMar>
              <w:top w:w="80" w:type="dxa"/>
              <w:left w:w="95" w:type="dxa"/>
              <w:bottom w:w="80" w:type="dxa"/>
              <w:right w:w="95" w:type="dxa"/>
            </w:tcMar>
          </w:tcPr>
          <w:p w14:paraId="05A640A4" w14:textId="77777777" w:rsidR="00275325" w:rsidRDefault="005C749E">
            <w:r>
              <w:rPr>
                <w:b/>
                <w:color w:val="1F4E79"/>
              </w:rPr>
              <w:t>Broad but incomplete</w:t>
            </w:r>
          </w:p>
        </w:tc>
        <w:tc>
          <w:tcPr>
            <w:tcW w:w="6120" w:type="dxa"/>
            <w:shd w:val="clear" w:color="auto" w:fill="F2F2F2"/>
            <w:tcMar>
              <w:top w:w="80" w:type="dxa"/>
              <w:left w:w="95" w:type="dxa"/>
              <w:bottom w:w="80" w:type="dxa"/>
              <w:right w:w="95" w:type="dxa"/>
            </w:tcMar>
          </w:tcPr>
          <w:p w14:paraId="560A9690" w14:textId="77777777" w:rsidR="00275325" w:rsidRDefault="005C749E">
            <w:r>
              <w:t>How do they know disorder really fell?</w:t>
            </w:r>
          </w:p>
        </w:tc>
        <w:tc>
          <w:tcPr>
            <w:tcW w:w="2736" w:type="dxa"/>
            <w:shd w:val="clear" w:color="auto" w:fill="F2F2F2"/>
            <w:tcMar>
              <w:top w:w="80" w:type="dxa"/>
              <w:left w:w="95" w:type="dxa"/>
              <w:bottom w:w="80" w:type="dxa"/>
              <w:right w:w="95" w:type="dxa"/>
            </w:tcMar>
          </w:tcPr>
          <w:p w14:paraId="6F3EFAFC" w14:textId="77777777" w:rsidR="00275325" w:rsidRDefault="005C749E">
            <w:r>
              <w:rPr>
                <w:i/>
                <w:color w:val="5A5A5A"/>
              </w:rPr>
              <w:t>Registers uncertainty but does not identify what must be made usable.</w:t>
            </w:r>
          </w:p>
        </w:tc>
      </w:tr>
      <w:tr w:rsidR="00275325" w14:paraId="78A2F895" w14:textId="77777777">
        <w:trPr>
          <w:cantSplit/>
          <w:jc w:val="center"/>
        </w:trPr>
        <w:tc>
          <w:tcPr>
            <w:tcW w:w="2088" w:type="dxa"/>
            <w:shd w:val="clear" w:color="auto" w:fill="FFFFFF"/>
            <w:tcMar>
              <w:top w:w="80" w:type="dxa"/>
              <w:left w:w="95" w:type="dxa"/>
              <w:bottom w:w="80" w:type="dxa"/>
              <w:right w:w="95" w:type="dxa"/>
            </w:tcMar>
          </w:tcPr>
          <w:p w14:paraId="6123A8D8" w14:textId="77777777" w:rsidR="00275325" w:rsidRDefault="005C749E">
            <w:r>
              <w:rPr>
                <w:b/>
                <w:color w:val="1F4E79"/>
              </w:rPr>
              <w:t>Nitpicky</w:t>
            </w:r>
          </w:p>
        </w:tc>
        <w:tc>
          <w:tcPr>
            <w:tcW w:w="6120" w:type="dxa"/>
            <w:shd w:val="clear" w:color="auto" w:fill="FFFFFF"/>
            <w:tcMar>
              <w:top w:w="80" w:type="dxa"/>
              <w:left w:w="95" w:type="dxa"/>
              <w:bottom w:w="80" w:type="dxa"/>
              <w:right w:w="95" w:type="dxa"/>
            </w:tcMar>
          </w:tcPr>
          <w:p w14:paraId="30115883" w14:textId="77777777" w:rsidR="00275325" w:rsidRDefault="005C749E">
            <w:r>
              <w:t>What exact dictionary definition of "downtown" are they using?</w:t>
            </w:r>
          </w:p>
        </w:tc>
        <w:tc>
          <w:tcPr>
            <w:tcW w:w="2736" w:type="dxa"/>
            <w:shd w:val="clear" w:color="auto" w:fill="FFFFFF"/>
            <w:tcMar>
              <w:top w:w="80" w:type="dxa"/>
              <w:left w:w="95" w:type="dxa"/>
              <w:bottom w:w="80" w:type="dxa"/>
              <w:right w:w="95" w:type="dxa"/>
            </w:tcMar>
          </w:tcPr>
          <w:p w14:paraId="247D5E9A" w14:textId="77777777" w:rsidR="00275325" w:rsidRDefault="005C749E">
            <w:r>
              <w:rPr>
                <w:i/>
                <w:color w:val="5A5A5A"/>
              </w:rPr>
              <w:t>Targets a possible ambiguity that is not doing the important inferential work here.</w:t>
            </w:r>
          </w:p>
        </w:tc>
      </w:tr>
      <w:tr w:rsidR="00275325" w14:paraId="78425BBD" w14:textId="77777777">
        <w:trPr>
          <w:cantSplit/>
          <w:jc w:val="center"/>
        </w:trPr>
        <w:tc>
          <w:tcPr>
            <w:tcW w:w="2088" w:type="dxa"/>
            <w:shd w:val="clear" w:color="auto" w:fill="F2F2F2"/>
            <w:tcMar>
              <w:top w:w="80" w:type="dxa"/>
              <w:left w:w="95" w:type="dxa"/>
              <w:bottom w:w="80" w:type="dxa"/>
              <w:right w:w="95" w:type="dxa"/>
            </w:tcMar>
          </w:tcPr>
          <w:p w14:paraId="1F2766A4" w14:textId="77777777" w:rsidR="00275325" w:rsidRDefault="005C749E">
            <w:r>
              <w:rPr>
                <w:b/>
                <w:color w:val="1F4E79"/>
              </w:rPr>
              <w:t>Differently worded but acceptable</w:t>
            </w:r>
          </w:p>
        </w:tc>
        <w:tc>
          <w:tcPr>
            <w:tcW w:w="6120" w:type="dxa"/>
            <w:shd w:val="clear" w:color="auto" w:fill="F2F2F2"/>
            <w:tcMar>
              <w:top w:w="80" w:type="dxa"/>
              <w:left w:w="95" w:type="dxa"/>
              <w:bottom w:w="80" w:type="dxa"/>
              <w:right w:w="95" w:type="dxa"/>
            </w:tcMar>
          </w:tcPr>
          <w:p w14:paraId="45995474" w14:textId="77777777" w:rsidR="00275325" w:rsidRDefault="005C749E">
            <w:r>
              <w:t>Which incident categories went into that 28 percent figure, and what was the cutoff for including an incident?</w:t>
            </w:r>
          </w:p>
        </w:tc>
        <w:tc>
          <w:tcPr>
            <w:tcW w:w="2736" w:type="dxa"/>
            <w:shd w:val="clear" w:color="auto" w:fill="F2F2F2"/>
            <w:tcMar>
              <w:top w:w="80" w:type="dxa"/>
              <w:left w:w="95" w:type="dxa"/>
              <w:bottom w:w="80" w:type="dxa"/>
              <w:right w:w="95" w:type="dxa"/>
            </w:tcMar>
          </w:tcPr>
          <w:p w14:paraId="2649CCCB" w14:textId="77777777" w:rsidR="00275325" w:rsidRDefault="005C749E">
            <w:r>
              <w:rPr>
                <w:i/>
                <w:color w:val="5A5A5A"/>
              </w:rPr>
              <w:t>Different wording, same diagnostic function.</w:t>
            </w:r>
          </w:p>
        </w:tc>
      </w:tr>
    </w:tbl>
    <w:p w14:paraId="24C65341" w14:textId="77777777" w:rsidR="00275325" w:rsidRDefault="005C749E">
      <w:r>
        <w:br w:type="page"/>
      </w:r>
    </w:p>
    <w:p w14:paraId="6774A62C" w14:textId="77777777" w:rsidR="00275325" w:rsidRDefault="005C749E">
      <w:pPr>
        <w:pStyle w:val="Heading1"/>
      </w:pPr>
      <w:r>
        <w:lastRenderedPageBreak/>
        <w:t>Learning Target 2: Seeing when something has changed</w:t>
      </w:r>
    </w:p>
    <w:p w14:paraId="0117E3B8" w14:textId="77777777" w:rsidR="00275325" w:rsidRDefault="005C749E">
      <w:pPr>
        <w:pStyle w:val="Reflex"/>
      </w:pPr>
      <w:r>
        <w:rPr>
          <w:b/>
          <w:i w:val="0"/>
          <w:color w:val="1F4E79"/>
        </w:rPr>
        <w:t xml:space="preserve">Student reflex: </w:t>
      </w:r>
      <w:r>
        <w:t>Are those actually the same in the way this reasoning needs? What difference is being erased?</w:t>
      </w:r>
    </w:p>
    <w:p w14:paraId="0C87B561" w14:textId="77777777" w:rsidR="00275325" w:rsidRDefault="005C749E">
      <w:pPr>
        <w:pStyle w:val="Heading2"/>
      </w:pPr>
      <w:r>
        <w:t>Three Cases</w:t>
      </w:r>
    </w:p>
    <w:tbl>
      <w:tblPr>
        <w:tblStyle w:val="TableGrid"/>
        <w:tblW w:w="0" w:type="auto"/>
        <w:jc w:val="center"/>
        <w:tblLayout w:type="fixed"/>
        <w:tblLook w:val="04A0" w:firstRow="1" w:lastRow="0" w:firstColumn="1" w:lastColumn="0" w:noHBand="0" w:noVBand="1"/>
      </w:tblPr>
      <w:tblGrid>
        <w:gridCol w:w="2376"/>
        <w:gridCol w:w="8568"/>
      </w:tblGrid>
      <w:tr w:rsidR="00275325" w14:paraId="277204E5" w14:textId="77777777">
        <w:trPr>
          <w:tblHeader/>
          <w:jc w:val="center"/>
        </w:trPr>
        <w:tc>
          <w:tcPr>
            <w:tcW w:w="2376" w:type="dxa"/>
            <w:shd w:val="clear" w:color="auto" w:fill="1F4E79"/>
            <w:tcMar>
              <w:top w:w="90" w:type="dxa"/>
              <w:left w:w="100" w:type="dxa"/>
              <w:bottom w:w="90" w:type="dxa"/>
              <w:right w:w="100" w:type="dxa"/>
            </w:tcMar>
          </w:tcPr>
          <w:p w14:paraId="4D46122C" w14:textId="77777777" w:rsidR="00275325" w:rsidRDefault="005C749E">
            <w:r>
              <w:rPr>
                <w:b/>
                <w:color w:val="FFFFFF"/>
                <w:sz w:val="20"/>
              </w:rPr>
              <w:t>Case</w:t>
            </w:r>
          </w:p>
        </w:tc>
        <w:tc>
          <w:tcPr>
            <w:tcW w:w="8568" w:type="dxa"/>
            <w:shd w:val="clear" w:color="auto" w:fill="1F4E79"/>
            <w:tcMar>
              <w:top w:w="90" w:type="dxa"/>
              <w:left w:w="100" w:type="dxa"/>
              <w:bottom w:w="90" w:type="dxa"/>
              <w:right w:w="100" w:type="dxa"/>
            </w:tcMar>
          </w:tcPr>
          <w:p w14:paraId="1433EF5A" w14:textId="77777777" w:rsidR="00275325" w:rsidRDefault="005C749E">
            <w:r>
              <w:rPr>
                <w:b/>
                <w:color w:val="FFFFFF"/>
                <w:sz w:val="20"/>
              </w:rPr>
              <w:t>Prompt and instructor note</w:t>
            </w:r>
          </w:p>
        </w:tc>
      </w:tr>
      <w:tr w:rsidR="00275325" w14:paraId="67A2F31B" w14:textId="77777777">
        <w:trPr>
          <w:cantSplit/>
          <w:jc w:val="center"/>
        </w:trPr>
        <w:tc>
          <w:tcPr>
            <w:tcW w:w="2376" w:type="dxa"/>
            <w:shd w:val="clear" w:color="auto" w:fill="D9EAF7"/>
            <w:tcMar>
              <w:top w:w="90" w:type="dxa"/>
              <w:left w:w="110" w:type="dxa"/>
              <w:bottom w:w="90" w:type="dxa"/>
              <w:right w:w="110" w:type="dxa"/>
            </w:tcMar>
          </w:tcPr>
          <w:p w14:paraId="5C329DAE" w14:textId="77777777" w:rsidR="00275325" w:rsidRDefault="005C749E">
            <w:pPr>
              <w:spacing w:after="0"/>
            </w:pPr>
            <w:r>
              <w:rPr>
                <w:b/>
                <w:color w:val="1F4E79"/>
              </w:rPr>
              <w:t>Clearly unsettled</w:t>
            </w:r>
          </w:p>
        </w:tc>
        <w:tc>
          <w:tcPr>
            <w:tcW w:w="8568" w:type="dxa"/>
            <w:shd w:val="clear" w:color="auto" w:fill="D9EAF7"/>
            <w:tcMar>
              <w:top w:w="90" w:type="dxa"/>
              <w:left w:w="110" w:type="dxa"/>
              <w:bottom w:w="90" w:type="dxa"/>
              <w:right w:w="110" w:type="dxa"/>
            </w:tcMar>
          </w:tcPr>
          <w:p w14:paraId="1CD809E9" w14:textId="77777777" w:rsidR="00275325" w:rsidRDefault="005C749E">
            <w:r>
              <w:t>At a zoning meeting, a council member says: "The residents asking us to delay this rezoning until a traffic study is complete are opposing new housing. Opposing new housing makes affordability worse, so these residents are willing to make housing less affordable."</w:t>
            </w:r>
          </w:p>
          <w:p w14:paraId="2700E020" w14:textId="77777777" w:rsidR="00275325" w:rsidRDefault="005C749E">
            <w:pPr>
              <w:spacing w:after="40"/>
            </w:pPr>
            <w:r>
              <w:rPr>
                <w:b/>
                <w:color w:val="1F4E79"/>
              </w:rPr>
              <w:t xml:space="preserve">Instructor note: </w:t>
            </w:r>
            <w:r>
              <w:rPr>
                <w:i/>
              </w:rPr>
              <w:t>The reasoning moves from "delay this rezoning until a study is complete" to "oppose new housing." Those positions can come apart, and the later judgment is imported only if the substitution is warranted.</w:t>
            </w:r>
          </w:p>
        </w:tc>
      </w:tr>
      <w:tr w:rsidR="00275325" w14:paraId="0E108886" w14:textId="77777777">
        <w:trPr>
          <w:cantSplit/>
          <w:jc w:val="center"/>
        </w:trPr>
        <w:tc>
          <w:tcPr>
            <w:tcW w:w="2376" w:type="dxa"/>
            <w:shd w:val="clear" w:color="auto" w:fill="FFFFFF"/>
            <w:tcMar>
              <w:top w:w="90" w:type="dxa"/>
              <w:left w:w="110" w:type="dxa"/>
              <w:bottom w:w="90" w:type="dxa"/>
              <w:right w:w="110" w:type="dxa"/>
            </w:tcMar>
          </w:tcPr>
          <w:p w14:paraId="71553796" w14:textId="77777777" w:rsidR="00275325" w:rsidRDefault="005C749E">
            <w:pPr>
              <w:spacing w:after="0"/>
            </w:pPr>
            <w:r>
              <w:rPr>
                <w:b/>
                <w:color w:val="1F4E79"/>
              </w:rPr>
              <w:t>Practically sufficient</w:t>
            </w:r>
          </w:p>
        </w:tc>
        <w:tc>
          <w:tcPr>
            <w:tcW w:w="8568" w:type="dxa"/>
            <w:shd w:val="clear" w:color="auto" w:fill="FFFFFF"/>
            <w:tcMar>
              <w:top w:w="90" w:type="dxa"/>
              <w:left w:w="110" w:type="dxa"/>
              <w:bottom w:w="90" w:type="dxa"/>
              <w:right w:w="110" w:type="dxa"/>
            </w:tcMar>
          </w:tcPr>
          <w:p w14:paraId="6D425B18" w14:textId="77777777" w:rsidR="00275325" w:rsidRDefault="005C749E">
            <w:r>
              <w:t>For emergency-evacuation instructions, the building policy groups employees, contractors, and visitors together as "occupants." The policy explicitly says the grouping is only for determining who must follow the same exit and assembly procedures.</w:t>
            </w:r>
          </w:p>
          <w:p w14:paraId="25AD8D40" w14:textId="77777777" w:rsidR="00275325" w:rsidRDefault="005C749E">
            <w:pPr>
              <w:spacing w:after="40"/>
            </w:pPr>
            <w:r>
              <w:rPr>
                <w:b/>
                <w:color w:val="1F4E79"/>
              </w:rPr>
              <w:t xml:space="preserve">Instructor note: </w:t>
            </w:r>
            <w:r>
              <w:rPr>
                <w:i/>
              </w:rPr>
              <w:t>The groups differ in many ways, but the policy limits the equivalence to a respect in which the differences do not matter. Preserving those other distinctions would not change the evacuation inference.</w:t>
            </w:r>
          </w:p>
        </w:tc>
      </w:tr>
      <w:tr w:rsidR="00275325" w14:paraId="2D45872B" w14:textId="77777777">
        <w:trPr>
          <w:cantSplit/>
          <w:jc w:val="center"/>
        </w:trPr>
        <w:tc>
          <w:tcPr>
            <w:tcW w:w="2376" w:type="dxa"/>
            <w:shd w:val="clear" w:color="auto" w:fill="EEF5FA"/>
            <w:tcMar>
              <w:top w:w="90" w:type="dxa"/>
              <w:left w:w="110" w:type="dxa"/>
              <w:bottom w:w="90" w:type="dxa"/>
              <w:right w:w="110" w:type="dxa"/>
            </w:tcMar>
          </w:tcPr>
          <w:p w14:paraId="2B523FF8" w14:textId="77777777" w:rsidR="00275325" w:rsidRDefault="005C749E">
            <w:pPr>
              <w:spacing w:after="0"/>
            </w:pPr>
            <w:r>
              <w:rPr>
                <w:b/>
                <w:color w:val="1F4E79"/>
              </w:rPr>
              <w:t>Borderline / tempting to nitpick</w:t>
            </w:r>
          </w:p>
        </w:tc>
        <w:tc>
          <w:tcPr>
            <w:tcW w:w="8568" w:type="dxa"/>
            <w:shd w:val="clear" w:color="auto" w:fill="EEF5FA"/>
            <w:tcMar>
              <w:top w:w="90" w:type="dxa"/>
              <w:left w:w="110" w:type="dxa"/>
              <w:bottom w:w="90" w:type="dxa"/>
              <w:right w:w="110" w:type="dxa"/>
            </w:tcMar>
          </w:tcPr>
          <w:p w14:paraId="0D6CC4EB" w14:textId="77777777" w:rsidR="00275325" w:rsidRDefault="005C749E">
            <w:r>
              <w:t>A school survey reports results for "portable computers," defined for this survey as laptops and tablets that can run the required browser software. The report compares the share of students who have a portable computer available at home with the share who do not.</w:t>
            </w:r>
          </w:p>
          <w:p w14:paraId="20CB2B36" w14:textId="77777777" w:rsidR="00275325" w:rsidRDefault="005C749E">
            <w:pPr>
              <w:spacing w:after="40"/>
            </w:pPr>
            <w:r>
              <w:rPr>
                <w:b/>
                <w:color w:val="1F4E79"/>
              </w:rPr>
              <w:t xml:space="preserve">Instructor note: </w:t>
            </w:r>
            <w:r>
              <w:rPr>
                <w:i/>
              </w:rPr>
              <w:t>Laptops and tablets are not identical, but the report states the relevant respect in which they are grouped. Objecting that tablets lack physical keyboards would be a nitpick unless keyboard use matters to the claim being made.</w:t>
            </w:r>
          </w:p>
        </w:tc>
      </w:tr>
    </w:tbl>
    <w:p w14:paraId="5F5F3A36" w14:textId="77777777" w:rsidR="00275325" w:rsidRDefault="00275325">
      <w:pPr>
        <w:spacing w:after="20"/>
      </w:pPr>
    </w:p>
    <w:p w14:paraId="63490F4B" w14:textId="77777777" w:rsidR="00275325" w:rsidRDefault="005C749E">
      <w:pPr>
        <w:pStyle w:val="Heading2"/>
      </w:pPr>
      <w:r>
        <w:t>Sample Student Responses to the Clearly Unsettled Case</w:t>
      </w:r>
    </w:p>
    <w:tbl>
      <w:tblPr>
        <w:tblStyle w:val="TableGrid"/>
        <w:tblW w:w="0" w:type="auto"/>
        <w:jc w:val="center"/>
        <w:tblLayout w:type="fixed"/>
        <w:tblLook w:val="04A0" w:firstRow="1" w:lastRow="0" w:firstColumn="1" w:lastColumn="0" w:noHBand="0" w:noVBand="1"/>
      </w:tblPr>
      <w:tblGrid>
        <w:gridCol w:w="2088"/>
        <w:gridCol w:w="6120"/>
        <w:gridCol w:w="2736"/>
      </w:tblGrid>
      <w:tr w:rsidR="00275325" w14:paraId="47B92085" w14:textId="77777777">
        <w:trPr>
          <w:tblHeader/>
          <w:jc w:val="center"/>
        </w:trPr>
        <w:tc>
          <w:tcPr>
            <w:tcW w:w="2088" w:type="dxa"/>
            <w:shd w:val="clear" w:color="auto" w:fill="1F4E79"/>
            <w:tcMar>
              <w:top w:w="90" w:type="dxa"/>
              <w:left w:w="100" w:type="dxa"/>
              <w:bottom w:w="90" w:type="dxa"/>
              <w:right w:w="100" w:type="dxa"/>
            </w:tcMar>
          </w:tcPr>
          <w:p w14:paraId="04DC9CBF" w14:textId="77777777" w:rsidR="00275325" w:rsidRDefault="005C749E">
            <w:r>
              <w:rPr>
                <w:b/>
                <w:color w:val="FFFFFF"/>
                <w:sz w:val="20"/>
              </w:rPr>
              <w:t>Response type</w:t>
            </w:r>
          </w:p>
        </w:tc>
        <w:tc>
          <w:tcPr>
            <w:tcW w:w="6120" w:type="dxa"/>
            <w:shd w:val="clear" w:color="auto" w:fill="1F4E79"/>
            <w:tcMar>
              <w:top w:w="90" w:type="dxa"/>
              <w:left w:w="100" w:type="dxa"/>
              <w:bottom w:w="90" w:type="dxa"/>
              <w:right w:w="100" w:type="dxa"/>
            </w:tcMar>
          </w:tcPr>
          <w:p w14:paraId="1E75FF77" w14:textId="77777777" w:rsidR="00275325" w:rsidRDefault="005C749E">
            <w:r>
              <w:rPr>
                <w:b/>
                <w:color w:val="FFFFFF"/>
                <w:sz w:val="20"/>
              </w:rPr>
              <w:t>Sample student response</w:t>
            </w:r>
          </w:p>
        </w:tc>
        <w:tc>
          <w:tcPr>
            <w:tcW w:w="2736" w:type="dxa"/>
            <w:shd w:val="clear" w:color="auto" w:fill="1F4E79"/>
            <w:tcMar>
              <w:top w:w="90" w:type="dxa"/>
              <w:left w:w="100" w:type="dxa"/>
              <w:bottom w:w="90" w:type="dxa"/>
              <w:right w:w="100" w:type="dxa"/>
            </w:tcMar>
          </w:tcPr>
          <w:p w14:paraId="2FD634EC" w14:textId="77777777" w:rsidR="00275325" w:rsidRDefault="005C749E">
            <w:r>
              <w:rPr>
                <w:b/>
                <w:color w:val="FFFFFF"/>
                <w:sz w:val="20"/>
              </w:rPr>
              <w:t>Evaluation</w:t>
            </w:r>
          </w:p>
        </w:tc>
      </w:tr>
      <w:tr w:rsidR="00275325" w14:paraId="61E37D10" w14:textId="77777777">
        <w:trPr>
          <w:cantSplit/>
          <w:jc w:val="center"/>
        </w:trPr>
        <w:tc>
          <w:tcPr>
            <w:tcW w:w="2088" w:type="dxa"/>
            <w:shd w:val="clear" w:color="auto" w:fill="FFFFFF"/>
            <w:tcMar>
              <w:top w:w="80" w:type="dxa"/>
              <w:left w:w="95" w:type="dxa"/>
              <w:bottom w:w="80" w:type="dxa"/>
              <w:right w:w="95" w:type="dxa"/>
            </w:tcMar>
          </w:tcPr>
          <w:p w14:paraId="24215F8A" w14:textId="77777777" w:rsidR="00275325" w:rsidRDefault="005C749E">
            <w:r>
              <w:rPr>
                <w:b/>
                <w:color w:val="1F4E79"/>
              </w:rPr>
              <w:t>Strong</w:t>
            </w:r>
          </w:p>
        </w:tc>
        <w:tc>
          <w:tcPr>
            <w:tcW w:w="6120" w:type="dxa"/>
            <w:shd w:val="clear" w:color="auto" w:fill="FFFFFF"/>
            <w:tcMar>
              <w:top w:w="80" w:type="dxa"/>
              <w:left w:w="95" w:type="dxa"/>
              <w:bottom w:w="80" w:type="dxa"/>
              <w:right w:w="95" w:type="dxa"/>
            </w:tcMar>
          </w:tcPr>
          <w:p w14:paraId="2F5B0714" w14:textId="77777777" w:rsidR="00275325" w:rsidRDefault="005C749E">
            <w:r>
              <w:t>Does asking to delay this rezoning until a traffic study is finished actually amount to opposing more housing, or could someone support more housing while wanting this project delayed?</w:t>
            </w:r>
          </w:p>
        </w:tc>
        <w:tc>
          <w:tcPr>
            <w:tcW w:w="2736" w:type="dxa"/>
            <w:shd w:val="clear" w:color="auto" w:fill="FFFFFF"/>
            <w:tcMar>
              <w:top w:w="80" w:type="dxa"/>
              <w:left w:w="95" w:type="dxa"/>
              <w:bottom w:w="80" w:type="dxa"/>
              <w:right w:w="95" w:type="dxa"/>
            </w:tcMar>
          </w:tcPr>
          <w:p w14:paraId="522B4ADA" w14:textId="77777777" w:rsidR="00275325" w:rsidRDefault="005C749E">
            <w:r>
              <w:rPr>
                <w:i/>
                <w:color w:val="5A5A5A"/>
              </w:rPr>
              <w:t>Names the two formulations and gives a come-apart possibility.</w:t>
            </w:r>
          </w:p>
        </w:tc>
      </w:tr>
      <w:tr w:rsidR="00275325" w14:paraId="63CA4266" w14:textId="77777777">
        <w:trPr>
          <w:cantSplit/>
          <w:jc w:val="center"/>
        </w:trPr>
        <w:tc>
          <w:tcPr>
            <w:tcW w:w="2088" w:type="dxa"/>
            <w:shd w:val="clear" w:color="auto" w:fill="F2F2F2"/>
            <w:tcMar>
              <w:top w:w="80" w:type="dxa"/>
              <w:left w:w="95" w:type="dxa"/>
              <w:bottom w:w="80" w:type="dxa"/>
              <w:right w:w="95" w:type="dxa"/>
            </w:tcMar>
          </w:tcPr>
          <w:p w14:paraId="6F41AFEB" w14:textId="77777777" w:rsidR="00275325" w:rsidRDefault="005C749E">
            <w:r>
              <w:rPr>
                <w:b/>
                <w:color w:val="1F4E79"/>
              </w:rPr>
              <w:t>Broad but incomplete</w:t>
            </w:r>
          </w:p>
        </w:tc>
        <w:tc>
          <w:tcPr>
            <w:tcW w:w="6120" w:type="dxa"/>
            <w:shd w:val="clear" w:color="auto" w:fill="F2F2F2"/>
            <w:tcMar>
              <w:top w:w="80" w:type="dxa"/>
              <w:left w:w="95" w:type="dxa"/>
              <w:bottom w:w="80" w:type="dxa"/>
              <w:right w:w="95" w:type="dxa"/>
            </w:tcMar>
          </w:tcPr>
          <w:p w14:paraId="4606B3CC" w14:textId="77777777" w:rsidR="00275325" w:rsidRDefault="005C749E">
            <w:r>
              <w:t>Is the council member being fair to the residents?</w:t>
            </w:r>
          </w:p>
        </w:tc>
        <w:tc>
          <w:tcPr>
            <w:tcW w:w="2736" w:type="dxa"/>
            <w:shd w:val="clear" w:color="auto" w:fill="F2F2F2"/>
            <w:tcMar>
              <w:top w:w="80" w:type="dxa"/>
              <w:left w:w="95" w:type="dxa"/>
              <w:bottom w:w="80" w:type="dxa"/>
              <w:right w:w="95" w:type="dxa"/>
            </w:tcMar>
          </w:tcPr>
          <w:p w14:paraId="0A2C6278" w14:textId="77777777" w:rsidR="00275325" w:rsidRDefault="005C749E">
            <w:r>
              <w:rPr>
                <w:i/>
                <w:color w:val="5A5A5A"/>
              </w:rPr>
              <w:t>May sense distortion, but it does not locate the changed claim.</w:t>
            </w:r>
          </w:p>
        </w:tc>
      </w:tr>
      <w:tr w:rsidR="00275325" w14:paraId="0935548E" w14:textId="77777777">
        <w:trPr>
          <w:cantSplit/>
          <w:jc w:val="center"/>
        </w:trPr>
        <w:tc>
          <w:tcPr>
            <w:tcW w:w="2088" w:type="dxa"/>
            <w:shd w:val="clear" w:color="auto" w:fill="FFFFFF"/>
            <w:tcMar>
              <w:top w:w="80" w:type="dxa"/>
              <w:left w:w="95" w:type="dxa"/>
              <w:bottom w:w="80" w:type="dxa"/>
              <w:right w:w="95" w:type="dxa"/>
            </w:tcMar>
          </w:tcPr>
          <w:p w14:paraId="616234B8" w14:textId="77777777" w:rsidR="00275325" w:rsidRDefault="005C749E">
            <w:r>
              <w:rPr>
                <w:b/>
                <w:color w:val="1F4E79"/>
              </w:rPr>
              <w:t>Nitpicky</w:t>
            </w:r>
          </w:p>
        </w:tc>
        <w:tc>
          <w:tcPr>
            <w:tcW w:w="6120" w:type="dxa"/>
            <w:shd w:val="clear" w:color="auto" w:fill="FFFFFF"/>
            <w:tcMar>
              <w:top w:w="80" w:type="dxa"/>
              <w:left w:w="95" w:type="dxa"/>
              <w:bottom w:w="80" w:type="dxa"/>
              <w:right w:w="95" w:type="dxa"/>
            </w:tcMar>
          </w:tcPr>
          <w:p w14:paraId="0F8D65BE" w14:textId="77777777" w:rsidR="00275325" w:rsidRDefault="005C749E">
            <w:r>
              <w:t>Did every resident use exactly the same words when asking for the delay?</w:t>
            </w:r>
          </w:p>
        </w:tc>
        <w:tc>
          <w:tcPr>
            <w:tcW w:w="2736" w:type="dxa"/>
            <w:shd w:val="clear" w:color="auto" w:fill="FFFFFF"/>
            <w:tcMar>
              <w:top w:w="80" w:type="dxa"/>
              <w:left w:w="95" w:type="dxa"/>
              <w:bottom w:w="80" w:type="dxa"/>
              <w:right w:w="95" w:type="dxa"/>
            </w:tcMar>
          </w:tcPr>
          <w:p w14:paraId="3E84D6E8" w14:textId="77777777" w:rsidR="00275325" w:rsidRDefault="005C749E">
            <w:r>
              <w:rPr>
                <w:i/>
                <w:color w:val="5A5A5A"/>
              </w:rPr>
              <w:t>Literal wording is not the important issue if their position is accurately summarized.</w:t>
            </w:r>
          </w:p>
        </w:tc>
      </w:tr>
      <w:tr w:rsidR="00275325" w14:paraId="7AE004BC" w14:textId="77777777">
        <w:trPr>
          <w:cantSplit/>
          <w:jc w:val="center"/>
        </w:trPr>
        <w:tc>
          <w:tcPr>
            <w:tcW w:w="2088" w:type="dxa"/>
            <w:shd w:val="clear" w:color="auto" w:fill="F2F2F2"/>
            <w:tcMar>
              <w:top w:w="80" w:type="dxa"/>
              <w:left w:w="95" w:type="dxa"/>
              <w:bottom w:w="80" w:type="dxa"/>
              <w:right w:w="95" w:type="dxa"/>
            </w:tcMar>
          </w:tcPr>
          <w:p w14:paraId="5DF98FFE" w14:textId="77777777" w:rsidR="00275325" w:rsidRDefault="005C749E">
            <w:r>
              <w:rPr>
                <w:b/>
                <w:color w:val="1F4E79"/>
              </w:rPr>
              <w:t>Differently worded but acceptable</w:t>
            </w:r>
          </w:p>
        </w:tc>
        <w:tc>
          <w:tcPr>
            <w:tcW w:w="6120" w:type="dxa"/>
            <w:shd w:val="clear" w:color="auto" w:fill="F2F2F2"/>
            <w:tcMar>
              <w:top w:w="80" w:type="dxa"/>
              <w:left w:w="95" w:type="dxa"/>
              <w:bottom w:w="80" w:type="dxa"/>
              <w:right w:w="95" w:type="dxa"/>
            </w:tcMar>
          </w:tcPr>
          <w:p w14:paraId="4A15FD42" w14:textId="77777777" w:rsidR="00275325" w:rsidRDefault="005C749E">
            <w:r>
              <w:t>What changed between "not until we have the traffic study" and "not at all"?</w:t>
            </w:r>
          </w:p>
        </w:tc>
        <w:tc>
          <w:tcPr>
            <w:tcW w:w="2736" w:type="dxa"/>
            <w:shd w:val="clear" w:color="auto" w:fill="F2F2F2"/>
            <w:tcMar>
              <w:top w:w="80" w:type="dxa"/>
              <w:left w:w="95" w:type="dxa"/>
              <w:bottom w:w="80" w:type="dxa"/>
              <w:right w:w="95" w:type="dxa"/>
            </w:tcMar>
          </w:tcPr>
          <w:p w14:paraId="48A19BBA" w14:textId="77777777" w:rsidR="00275325" w:rsidRDefault="005C749E">
            <w:r>
              <w:rPr>
                <w:i/>
                <w:color w:val="5A5A5A"/>
              </w:rPr>
              <w:t>Compactly isolates the erased distinction.</w:t>
            </w:r>
          </w:p>
        </w:tc>
      </w:tr>
    </w:tbl>
    <w:p w14:paraId="7F229C26" w14:textId="77777777" w:rsidR="00275325" w:rsidRDefault="005C749E">
      <w:r>
        <w:br w:type="page"/>
      </w:r>
    </w:p>
    <w:p w14:paraId="6DCD67BF" w14:textId="77777777" w:rsidR="00275325" w:rsidRDefault="005C749E">
      <w:pPr>
        <w:pStyle w:val="Heading1"/>
      </w:pPr>
      <w:r>
        <w:lastRenderedPageBreak/>
        <w:t>Learning Target 3: Seeing what follows from a condition</w:t>
      </w:r>
    </w:p>
    <w:p w14:paraId="7C11F3A8" w14:textId="77777777" w:rsidR="00275325" w:rsidRDefault="005C749E">
      <w:pPr>
        <w:pStyle w:val="Reflex"/>
      </w:pPr>
      <w:r>
        <w:rPr>
          <w:b/>
          <w:i w:val="0"/>
          <w:color w:val="1F4E79"/>
        </w:rPr>
        <w:t xml:space="preserve">Student reflex: </w:t>
      </w:r>
      <w:r>
        <w:t>Wait—does that condition actually let us conclude that? What did the rule rule out, and what did it leave open?</w:t>
      </w:r>
    </w:p>
    <w:p w14:paraId="57BD7C2D" w14:textId="77777777" w:rsidR="00275325" w:rsidRDefault="005C749E">
      <w:pPr>
        <w:spacing w:before="160" w:after="40"/>
      </w:pPr>
      <w:r>
        <w:rPr>
          <w:b/>
        </w:rPr>
        <w:t xml:space="preserve">Case convention: </w:t>
      </w:r>
      <w:r>
        <w:t>Treat the stated rules and supplied facts as true for the cases described. A counterexample must preserve them. Imagining a broken rule does not show that an inference from that rule is invalid.</w:t>
      </w:r>
    </w:p>
    <w:p w14:paraId="1B51A5D6" w14:textId="77777777" w:rsidR="00275325" w:rsidRDefault="005C749E">
      <w:pPr>
        <w:pStyle w:val="Heading2"/>
      </w:pPr>
      <w:r>
        <w:t>Three Cases</w:t>
      </w:r>
    </w:p>
    <w:tbl>
      <w:tblPr>
        <w:tblStyle w:val="TableGrid"/>
        <w:tblW w:w="0" w:type="auto"/>
        <w:jc w:val="center"/>
        <w:tblLayout w:type="fixed"/>
        <w:tblLook w:val="04A0" w:firstRow="1" w:lastRow="0" w:firstColumn="1" w:lastColumn="0" w:noHBand="0" w:noVBand="1"/>
      </w:tblPr>
      <w:tblGrid>
        <w:gridCol w:w="2376"/>
        <w:gridCol w:w="8568"/>
      </w:tblGrid>
      <w:tr w:rsidR="00275325" w14:paraId="0329D501" w14:textId="77777777">
        <w:trPr>
          <w:tblHeader/>
          <w:jc w:val="center"/>
        </w:trPr>
        <w:tc>
          <w:tcPr>
            <w:tcW w:w="2376" w:type="dxa"/>
            <w:shd w:val="clear" w:color="auto" w:fill="1F4E79"/>
            <w:tcMar>
              <w:top w:w="90" w:type="dxa"/>
              <w:left w:w="100" w:type="dxa"/>
              <w:bottom w:w="90" w:type="dxa"/>
              <w:right w:w="100" w:type="dxa"/>
            </w:tcMar>
          </w:tcPr>
          <w:p w14:paraId="2653D444" w14:textId="77777777" w:rsidR="00275325" w:rsidRDefault="005C749E">
            <w:r>
              <w:rPr>
                <w:b/>
                <w:color w:val="FFFFFF"/>
                <w:sz w:val="20"/>
              </w:rPr>
              <w:t>Case</w:t>
            </w:r>
          </w:p>
        </w:tc>
        <w:tc>
          <w:tcPr>
            <w:tcW w:w="8568" w:type="dxa"/>
            <w:shd w:val="clear" w:color="auto" w:fill="1F4E79"/>
            <w:tcMar>
              <w:top w:w="90" w:type="dxa"/>
              <w:left w:w="100" w:type="dxa"/>
              <w:bottom w:w="90" w:type="dxa"/>
              <w:right w:w="100" w:type="dxa"/>
            </w:tcMar>
          </w:tcPr>
          <w:p w14:paraId="79030027" w14:textId="77777777" w:rsidR="00275325" w:rsidRDefault="005C749E">
            <w:r>
              <w:rPr>
                <w:b/>
                <w:color w:val="FFFFFF"/>
                <w:sz w:val="20"/>
              </w:rPr>
              <w:t>Prompt and instructor note</w:t>
            </w:r>
          </w:p>
        </w:tc>
      </w:tr>
      <w:tr w:rsidR="00275325" w14:paraId="0EB44A3A" w14:textId="77777777">
        <w:trPr>
          <w:cantSplit/>
          <w:jc w:val="center"/>
        </w:trPr>
        <w:tc>
          <w:tcPr>
            <w:tcW w:w="2376" w:type="dxa"/>
            <w:shd w:val="clear" w:color="auto" w:fill="D9EAF7"/>
            <w:tcMar>
              <w:top w:w="90" w:type="dxa"/>
              <w:left w:w="110" w:type="dxa"/>
              <w:bottom w:w="90" w:type="dxa"/>
              <w:right w:w="110" w:type="dxa"/>
            </w:tcMar>
          </w:tcPr>
          <w:p w14:paraId="76DD2C26" w14:textId="77777777" w:rsidR="00275325" w:rsidRDefault="005C749E">
            <w:pPr>
              <w:spacing w:after="0"/>
            </w:pPr>
            <w:r>
              <w:rPr>
                <w:b/>
                <w:color w:val="1F4E79"/>
              </w:rPr>
              <w:t>Clearly unsettled</w:t>
            </w:r>
          </w:p>
        </w:tc>
        <w:tc>
          <w:tcPr>
            <w:tcW w:w="8568" w:type="dxa"/>
            <w:shd w:val="clear" w:color="auto" w:fill="D9EAF7"/>
            <w:tcMar>
              <w:top w:w="90" w:type="dxa"/>
              <w:left w:w="110" w:type="dxa"/>
              <w:bottom w:w="90" w:type="dxa"/>
              <w:right w:w="110" w:type="dxa"/>
            </w:tcMar>
          </w:tcPr>
          <w:p w14:paraId="1DF3B521" w14:textId="77777777" w:rsidR="00275325" w:rsidRDefault="005C749E">
            <w:r>
              <w:t>Before submitting an expense report, Taylor checks the company’s travel policy: “A hotel expense is eligible for reimbursement only if an itemized receipt is attached.” The itemized receipt for Taylor’s hotel stay is attached. Taylor tells a colleague, “So the policy establishes that this expense is eligible for reimbursement.”</w:t>
            </w:r>
          </w:p>
          <w:p w14:paraId="29787F31" w14:textId="77777777" w:rsidR="00275325" w:rsidRDefault="005C749E">
            <w:pPr>
              <w:spacing w:after="40"/>
            </w:pPr>
            <w:r>
              <w:rPr>
                <w:b/>
                <w:color w:val="1F4E79"/>
              </w:rPr>
              <w:t xml:space="preserve">Instructor note: </w:t>
            </w:r>
            <w:r>
              <w:rPr>
                <w:i/>
              </w:rPr>
              <w:t>Remains open. Eligibility requires an attached receipt; the rule does not make attachment sufficient. An expense with the receipt but without eligibility preserves both premises. Ask whether attachment guarantees eligibility. Do not infer that Taylor’s expense is ineligible or invent an additional requirement as an established fact.</w:t>
            </w:r>
          </w:p>
        </w:tc>
      </w:tr>
      <w:tr w:rsidR="00275325" w14:paraId="5CC6745F" w14:textId="77777777">
        <w:trPr>
          <w:cantSplit/>
          <w:jc w:val="center"/>
        </w:trPr>
        <w:tc>
          <w:tcPr>
            <w:tcW w:w="2376" w:type="dxa"/>
            <w:shd w:val="clear" w:color="auto" w:fill="FFFFFF"/>
            <w:tcMar>
              <w:top w:w="90" w:type="dxa"/>
              <w:left w:w="110" w:type="dxa"/>
              <w:bottom w:w="90" w:type="dxa"/>
              <w:right w:w="110" w:type="dxa"/>
            </w:tcMar>
          </w:tcPr>
          <w:p w14:paraId="35905B3A" w14:textId="77777777" w:rsidR="00275325" w:rsidRDefault="005C749E">
            <w:pPr>
              <w:spacing w:after="0"/>
            </w:pPr>
            <w:r>
              <w:rPr>
                <w:b/>
                <w:color w:val="1F4E79"/>
              </w:rPr>
              <w:t>Practically sufficient</w:t>
            </w:r>
          </w:p>
        </w:tc>
        <w:tc>
          <w:tcPr>
            <w:tcW w:w="8568" w:type="dxa"/>
            <w:shd w:val="clear" w:color="auto" w:fill="FFFFFF"/>
            <w:tcMar>
              <w:top w:w="90" w:type="dxa"/>
              <w:left w:w="110" w:type="dxa"/>
              <w:bottom w:w="90" w:type="dxa"/>
              <w:right w:w="110" w:type="dxa"/>
            </w:tcMar>
          </w:tcPr>
          <w:p w14:paraId="7E0896D5" w14:textId="77777777" w:rsidR="00275325" w:rsidRDefault="005C749E">
            <w:r>
              <w:t>A print shop’s policy says that an order qualifies for a full refund if it is canceled before printing begins. The order record shows that Harper’s order was canceled before printing began. A customer-service representative concludes that Harper’s order qualifies for a full refund under the policy.</w:t>
            </w:r>
          </w:p>
          <w:p w14:paraId="2A8F769F" w14:textId="77777777" w:rsidR="00275325" w:rsidRDefault="005C749E">
            <w:pPr>
              <w:spacing w:after="40"/>
            </w:pPr>
            <w:r>
              <w:rPr>
                <w:b/>
                <w:color w:val="1F4E79"/>
              </w:rPr>
              <w:t xml:space="preserve">Instructor note: </w:t>
            </w:r>
            <w:r>
              <w:rPr>
                <w:i/>
              </w:rPr>
              <w:t>Follows. Cancellation before printing is sufficient for refund eligibility, and that condition is met. Asking whether printing errors also qualify for refunds would not change this inference. Accept the conclusion about eligibility; it does not establish that a refund has already been paid.</w:t>
            </w:r>
          </w:p>
        </w:tc>
      </w:tr>
      <w:tr w:rsidR="00275325" w14:paraId="6A127109" w14:textId="77777777">
        <w:trPr>
          <w:cantSplit/>
          <w:jc w:val="center"/>
        </w:trPr>
        <w:tc>
          <w:tcPr>
            <w:tcW w:w="2376" w:type="dxa"/>
            <w:shd w:val="clear" w:color="auto" w:fill="EEF5FA"/>
            <w:tcMar>
              <w:top w:w="90" w:type="dxa"/>
              <w:left w:w="110" w:type="dxa"/>
              <w:bottom w:w="90" w:type="dxa"/>
              <w:right w:w="110" w:type="dxa"/>
            </w:tcMar>
          </w:tcPr>
          <w:p w14:paraId="446B4CB5" w14:textId="77777777" w:rsidR="00275325" w:rsidRDefault="005C749E">
            <w:pPr>
              <w:spacing w:after="0"/>
            </w:pPr>
            <w:r>
              <w:rPr>
                <w:b/>
                <w:color w:val="1F4E79"/>
              </w:rPr>
              <w:t>Borderline / tempting to nitpick</w:t>
            </w:r>
          </w:p>
        </w:tc>
        <w:tc>
          <w:tcPr>
            <w:tcW w:w="8568" w:type="dxa"/>
            <w:shd w:val="clear" w:color="auto" w:fill="EEF5FA"/>
            <w:tcMar>
              <w:top w:w="90" w:type="dxa"/>
              <w:left w:w="110" w:type="dxa"/>
              <w:bottom w:w="90" w:type="dxa"/>
              <w:right w:w="110" w:type="dxa"/>
            </w:tcMar>
          </w:tcPr>
          <w:p w14:paraId="636AA0AE" w14:textId="77777777" w:rsidR="00275325" w:rsidRDefault="005C749E">
            <w:r>
              <w:t>An equipment-rental company’s booking system follows this rule: “Unless the renter’s safety orientation is recorded as complete, the reservation is not marked ready for pickup.” Mina’s reservation is marked ready for pickup. A staff member concludes that Mina’s safety orientation is recorded as complete.</w:t>
            </w:r>
          </w:p>
          <w:p w14:paraId="0CA326C1" w14:textId="77777777" w:rsidR="00275325" w:rsidRDefault="005C749E">
            <w:pPr>
              <w:spacing w:after="40"/>
            </w:pPr>
            <w:r>
              <w:rPr>
                <w:b/>
                <w:color w:val="1F4E79"/>
              </w:rPr>
              <w:t xml:space="preserve">Instructor note: </w:t>
            </w:r>
            <w:r>
              <w:rPr>
                <w:i/>
              </w:rPr>
              <w:t>Follows. “Not recorded complete” guarantees “not marked ready.” The ready status therefore establishes recorded completion. Asking whether recorded completion alone guarantees ready status is unnecessary. A ready reservation without that record would violate the stipulated rule, not supply a counterexample. The conclusion concerns recorded completion, not proof that the orientation actually occurred.</w:t>
            </w:r>
          </w:p>
        </w:tc>
      </w:tr>
    </w:tbl>
    <w:p w14:paraId="60874594" w14:textId="77777777" w:rsidR="00275325" w:rsidRDefault="00275325">
      <w:pPr>
        <w:spacing w:after="20"/>
      </w:pPr>
    </w:p>
    <w:p w14:paraId="40851A67" w14:textId="77777777" w:rsidR="00275325" w:rsidRDefault="005C749E">
      <w:pPr>
        <w:pStyle w:val="Heading2"/>
        <w:pageBreakBefore/>
      </w:pPr>
      <w:r>
        <w:lastRenderedPageBreak/>
        <w:t>Sample Student Responses to the Clearly Unsettled Case</w:t>
      </w:r>
    </w:p>
    <w:tbl>
      <w:tblPr>
        <w:tblStyle w:val="TableGrid"/>
        <w:tblW w:w="0" w:type="auto"/>
        <w:jc w:val="center"/>
        <w:tblLayout w:type="fixed"/>
        <w:tblLook w:val="04A0" w:firstRow="1" w:lastRow="0" w:firstColumn="1" w:lastColumn="0" w:noHBand="0" w:noVBand="1"/>
      </w:tblPr>
      <w:tblGrid>
        <w:gridCol w:w="2088"/>
        <w:gridCol w:w="6120"/>
        <w:gridCol w:w="2736"/>
      </w:tblGrid>
      <w:tr w:rsidR="00275325" w14:paraId="61D7F318" w14:textId="77777777">
        <w:trPr>
          <w:tblHeader/>
          <w:jc w:val="center"/>
        </w:trPr>
        <w:tc>
          <w:tcPr>
            <w:tcW w:w="2088" w:type="dxa"/>
            <w:shd w:val="clear" w:color="auto" w:fill="1F4E79"/>
            <w:tcMar>
              <w:top w:w="90" w:type="dxa"/>
              <w:left w:w="100" w:type="dxa"/>
              <w:bottom w:w="90" w:type="dxa"/>
              <w:right w:w="100" w:type="dxa"/>
            </w:tcMar>
          </w:tcPr>
          <w:p w14:paraId="4D52C0E0" w14:textId="77777777" w:rsidR="00275325" w:rsidRDefault="005C749E">
            <w:r>
              <w:rPr>
                <w:b/>
                <w:color w:val="FFFFFF"/>
                <w:sz w:val="20"/>
              </w:rPr>
              <w:t>Response type</w:t>
            </w:r>
          </w:p>
        </w:tc>
        <w:tc>
          <w:tcPr>
            <w:tcW w:w="6120" w:type="dxa"/>
            <w:shd w:val="clear" w:color="auto" w:fill="1F4E79"/>
            <w:tcMar>
              <w:top w:w="90" w:type="dxa"/>
              <w:left w:w="100" w:type="dxa"/>
              <w:bottom w:w="90" w:type="dxa"/>
              <w:right w:w="100" w:type="dxa"/>
            </w:tcMar>
          </w:tcPr>
          <w:p w14:paraId="7ABE3AF2" w14:textId="77777777" w:rsidR="00275325" w:rsidRDefault="005C749E">
            <w:r>
              <w:rPr>
                <w:b/>
                <w:color w:val="FFFFFF"/>
                <w:sz w:val="20"/>
              </w:rPr>
              <w:t>Sample student response</w:t>
            </w:r>
          </w:p>
        </w:tc>
        <w:tc>
          <w:tcPr>
            <w:tcW w:w="2736" w:type="dxa"/>
            <w:shd w:val="clear" w:color="auto" w:fill="1F4E79"/>
            <w:tcMar>
              <w:top w:w="90" w:type="dxa"/>
              <w:left w:w="100" w:type="dxa"/>
              <w:bottom w:w="90" w:type="dxa"/>
              <w:right w:w="100" w:type="dxa"/>
            </w:tcMar>
          </w:tcPr>
          <w:p w14:paraId="6EE8537E" w14:textId="77777777" w:rsidR="00275325" w:rsidRDefault="005C749E">
            <w:r>
              <w:rPr>
                <w:b/>
                <w:color w:val="FFFFFF"/>
                <w:sz w:val="20"/>
              </w:rPr>
              <w:t>Evaluation</w:t>
            </w:r>
          </w:p>
        </w:tc>
      </w:tr>
      <w:tr w:rsidR="00275325" w14:paraId="1EDF4303" w14:textId="77777777">
        <w:trPr>
          <w:cantSplit/>
          <w:jc w:val="center"/>
        </w:trPr>
        <w:tc>
          <w:tcPr>
            <w:tcW w:w="2088" w:type="dxa"/>
            <w:shd w:val="clear" w:color="auto" w:fill="FFFFFF"/>
            <w:tcMar>
              <w:top w:w="80" w:type="dxa"/>
              <w:left w:w="95" w:type="dxa"/>
              <w:bottom w:w="80" w:type="dxa"/>
              <w:right w:w="95" w:type="dxa"/>
            </w:tcMar>
          </w:tcPr>
          <w:p w14:paraId="3495D655" w14:textId="77777777" w:rsidR="00275325" w:rsidRDefault="005C749E">
            <w:r>
              <w:rPr>
                <w:b/>
                <w:color w:val="1F4E79"/>
              </w:rPr>
              <w:t>Strong</w:t>
            </w:r>
          </w:p>
        </w:tc>
        <w:tc>
          <w:tcPr>
            <w:tcW w:w="6120" w:type="dxa"/>
            <w:shd w:val="clear" w:color="auto" w:fill="FFFFFF"/>
            <w:tcMar>
              <w:top w:w="80" w:type="dxa"/>
              <w:left w:w="95" w:type="dxa"/>
              <w:bottom w:w="80" w:type="dxa"/>
              <w:right w:w="95" w:type="dxa"/>
            </w:tcMar>
          </w:tcPr>
          <w:p w14:paraId="734C42F5" w14:textId="77777777" w:rsidR="00275325" w:rsidRDefault="005C749E">
            <w:r>
              <w:t>Does attaching an itemized receipt make a hotel expense eligible for reimbursement, or is it only something an eligible expense must have?</w:t>
            </w:r>
          </w:p>
          <w:p w14:paraId="4FB1A72A" w14:textId="77777777" w:rsidR="00F62304" w:rsidRDefault="008A52F5">
            <w:r>
              <w:rPr>
                <w:b/>
              </w:rPr>
              <w:t xml:space="preserve">Explanation: </w:t>
            </w:r>
            <w:r>
              <w:t>If attachment guarantees eligibility, Taylor’s conclusion follows. If the receipt is only required, an expense with a receipt can still be ineligible, so the conclusion remains open.</w:t>
            </w:r>
          </w:p>
        </w:tc>
        <w:tc>
          <w:tcPr>
            <w:tcW w:w="2736" w:type="dxa"/>
            <w:shd w:val="clear" w:color="auto" w:fill="FFFFFF"/>
            <w:tcMar>
              <w:top w:w="80" w:type="dxa"/>
              <w:left w:w="95" w:type="dxa"/>
              <w:bottom w:w="80" w:type="dxa"/>
              <w:right w:w="95" w:type="dxa"/>
            </w:tcMar>
          </w:tcPr>
          <w:p w14:paraId="6D66E154" w14:textId="77777777" w:rsidR="00275325" w:rsidRDefault="005C749E">
            <w:r>
              <w:rPr>
                <w:i/>
                <w:color w:val="5A5A5A"/>
              </w:rPr>
              <w:t>Tests whether the required receipt is also sufficient, and explains why eligibility remains open.</w:t>
            </w:r>
          </w:p>
        </w:tc>
      </w:tr>
      <w:tr w:rsidR="00275325" w14:paraId="7C40D472" w14:textId="77777777">
        <w:trPr>
          <w:cantSplit/>
          <w:jc w:val="center"/>
        </w:trPr>
        <w:tc>
          <w:tcPr>
            <w:tcW w:w="2088" w:type="dxa"/>
            <w:shd w:val="clear" w:color="auto" w:fill="F2F2F2"/>
            <w:tcMar>
              <w:top w:w="80" w:type="dxa"/>
              <w:left w:w="95" w:type="dxa"/>
              <w:bottom w:w="80" w:type="dxa"/>
              <w:right w:w="95" w:type="dxa"/>
            </w:tcMar>
          </w:tcPr>
          <w:p w14:paraId="761A885A" w14:textId="77777777" w:rsidR="00275325" w:rsidRDefault="005C749E">
            <w:r>
              <w:rPr>
                <w:b/>
                <w:color w:val="1F4E79"/>
              </w:rPr>
              <w:t>Broad but incomplete</w:t>
            </w:r>
          </w:p>
        </w:tc>
        <w:tc>
          <w:tcPr>
            <w:tcW w:w="6120" w:type="dxa"/>
            <w:shd w:val="clear" w:color="auto" w:fill="F2F2F2"/>
            <w:tcMar>
              <w:top w:w="80" w:type="dxa"/>
              <w:left w:w="95" w:type="dxa"/>
              <w:bottom w:w="80" w:type="dxa"/>
              <w:right w:w="95" w:type="dxa"/>
            </w:tcMar>
          </w:tcPr>
          <w:p w14:paraId="72EDE2B9" w14:textId="77777777" w:rsidR="00275325" w:rsidRDefault="005C749E">
            <w:r>
              <w:t>What else do we know about Taylor’s hotel stay?</w:t>
            </w:r>
          </w:p>
        </w:tc>
        <w:tc>
          <w:tcPr>
            <w:tcW w:w="2736" w:type="dxa"/>
            <w:shd w:val="clear" w:color="auto" w:fill="F2F2F2"/>
            <w:tcMar>
              <w:top w:w="80" w:type="dxa"/>
              <w:left w:w="95" w:type="dxa"/>
              <w:bottom w:w="80" w:type="dxa"/>
              <w:right w:w="95" w:type="dxa"/>
            </w:tcMar>
          </w:tcPr>
          <w:p w14:paraId="2B1FC121" w14:textId="77777777" w:rsidR="00275325" w:rsidRDefault="005C749E">
            <w:r>
              <w:rPr>
                <w:i/>
                <w:color w:val="5A5A5A"/>
              </w:rPr>
              <w:t>Asks for context, not whether an attached receipt is enough for eligibility.</w:t>
            </w:r>
          </w:p>
        </w:tc>
      </w:tr>
      <w:tr w:rsidR="00275325" w14:paraId="6527AF31" w14:textId="77777777">
        <w:trPr>
          <w:cantSplit/>
          <w:jc w:val="center"/>
        </w:trPr>
        <w:tc>
          <w:tcPr>
            <w:tcW w:w="2088" w:type="dxa"/>
            <w:shd w:val="clear" w:color="auto" w:fill="FFFFFF"/>
            <w:tcMar>
              <w:top w:w="80" w:type="dxa"/>
              <w:left w:w="95" w:type="dxa"/>
              <w:bottom w:w="80" w:type="dxa"/>
              <w:right w:w="95" w:type="dxa"/>
            </w:tcMar>
          </w:tcPr>
          <w:p w14:paraId="5E2301DD" w14:textId="77777777" w:rsidR="00275325" w:rsidRDefault="005C749E">
            <w:r>
              <w:rPr>
                <w:b/>
                <w:color w:val="1F4E79"/>
              </w:rPr>
              <w:t>Nitpicky</w:t>
            </w:r>
          </w:p>
        </w:tc>
        <w:tc>
          <w:tcPr>
            <w:tcW w:w="6120" w:type="dxa"/>
            <w:shd w:val="clear" w:color="auto" w:fill="FFFFFF"/>
            <w:tcMar>
              <w:top w:w="80" w:type="dxa"/>
              <w:left w:w="95" w:type="dxa"/>
              <w:bottom w:w="80" w:type="dxa"/>
              <w:right w:w="95" w:type="dxa"/>
            </w:tcMar>
          </w:tcPr>
          <w:p w14:paraId="000B5D38" w14:textId="77777777" w:rsidR="00275325" w:rsidRDefault="005C749E">
            <w:r>
              <w:t>At exactly what minute was the receipt attached?</w:t>
            </w:r>
          </w:p>
        </w:tc>
        <w:tc>
          <w:tcPr>
            <w:tcW w:w="2736" w:type="dxa"/>
            <w:shd w:val="clear" w:color="auto" w:fill="FFFFFF"/>
            <w:tcMar>
              <w:top w:w="80" w:type="dxa"/>
              <w:left w:w="95" w:type="dxa"/>
              <w:bottom w:w="80" w:type="dxa"/>
              <w:right w:w="95" w:type="dxa"/>
            </w:tcMar>
          </w:tcPr>
          <w:p w14:paraId="4F03F054" w14:textId="77777777" w:rsidR="00275325" w:rsidRDefault="005C749E">
            <w:r>
              <w:rPr>
                <w:i/>
                <w:color w:val="5A5A5A"/>
              </w:rPr>
              <w:t>Demands unnecessary timing precision rather than testing what the attached receipt establishes.</w:t>
            </w:r>
          </w:p>
        </w:tc>
      </w:tr>
      <w:tr w:rsidR="00275325" w14:paraId="6B1919E2" w14:textId="77777777">
        <w:trPr>
          <w:cantSplit/>
          <w:jc w:val="center"/>
        </w:trPr>
        <w:tc>
          <w:tcPr>
            <w:tcW w:w="2088" w:type="dxa"/>
            <w:shd w:val="clear" w:color="auto" w:fill="F2F2F2"/>
            <w:tcMar>
              <w:top w:w="80" w:type="dxa"/>
              <w:left w:w="95" w:type="dxa"/>
              <w:bottom w:w="80" w:type="dxa"/>
              <w:right w:w="95" w:type="dxa"/>
            </w:tcMar>
          </w:tcPr>
          <w:p w14:paraId="3E78C8C3" w14:textId="77777777" w:rsidR="00275325" w:rsidRDefault="005C749E">
            <w:r>
              <w:rPr>
                <w:b/>
                <w:color w:val="1F4E79"/>
              </w:rPr>
              <w:t>Differently worded but acceptable</w:t>
            </w:r>
          </w:p>
        </w:tc>
        <w:tc>
          <w:tcPr>
            <w:tcW w:w="6120" w:type="dxa"/>
            <w:shd w:val="clear" w:color="auto" w:fill="F2F2F2"/>
            <w:tcMar>
              <w:top w:w="80" w:type="dxa"/>
              <w:left w:w="95" w:type="dxa"/>
              <w:bottom w:w="80" w:type="dxa"/>
              <w:right w:w="95" w:type="dxa"/>
            </w:tcMar>
          </w:tcPr>
          <w:p w14:paraId="3ABAB223" w14:textId="77777777" w:rsidR="00275325" w:rsidRDefault="005C749E">
            <w:r>
              <w:t>Could the receipt be attached and this expense still not qualify?</w:t>
            </w:r>
          </w:p>
          <w:p w14:paraId="2750C5A1" w14:textId="77777777" w:rsidR="00F62304" w:rsidRDefault="008A52F5">
            <w:r>
              <w:rPr>
                <w:b/>
              </w:rPr>
              <w:t xml:space="preserve">Explanation: </w:t>
            </w:r>
            <w:r>
              <w:t>The policy rules out eligible expenses without receipts. It does not rule out expenses with receipts that are ineligible.</w:t>
            </w:r>
          </w:p>
        </w:tc>
        <w:tc>
          <w:tcPr>
            <w:tcW w:w="2736" w:type="dxa"/>
            <w:shd w:val="clear" w:color="auto" w:fill="F2F2F2"/>
            <w:tcMar>
              <w:top w:w="80" w:type="dxa"/>
              <w:left w:w="95" w:type="dxa"/>
              <w:bottom w:w="80" w:type="dxa"/>
              <w:right w:w="95" w:type="dxa"/>
            </w:tcMar>
          </w:tcPr>
          <w:p w14:paraId="60BA6DF4" w14:textId="77777777" w:rsidR="00275325" w:rsidRDefault="005C749E">
            <w:r>
              <w:rPr>
                <w:i/>
                <w:color w:val="5A5A5A"/>
              </w:rPr>
              <w:t>Isolates the open case. Fully acceptable without technical terminology.</w:t>
            </w:r>
          </w:p>
        </w:tc>
      </w:tr>
    </w:tbl>
    <w:p w14:paraId="3D02D0B0" w14:textId="77777777" w:rsidR="00275325" w:rsidRDefault="005C749E">
      <w:pPr>
        <w:pStyle w:val="Heading2"/>
      </w:pPr>
      <w:r>
        <w:t>Target 3: Evaluation and Coaching Notes</w:t>
      </w:r>
    </w:p>
    <w:p w14:paraId="300CC4D5" w14:textId="77777777" w:rsidR="00275325" w:rsidRDefault="005C749E">
      <w:pPr>
        <w:keepLines/>
        <w:spacing w:before="80" w:after="40"/>
      </w:pPr>
      <w:r>
        <w:rPr>
          <w:b/>
        </w:rPr>
        <w:t xml:space="preserve">Follows: </w:t>
      </w:r>
      <w:r>
        <w:t>Every case that fits the rule and facts makes the conclusion true. Accept “No further question is needed” with a brief explanation. Both valid cases above meet this standard.</w:t>
      </w:r>
    </w:p>
    <w:p w14:paraId="74E7F17F" w14:textId="77777777" w:rsidR="00275325" w:rsidRDefault="005C749E">
      <w:pPr>
        <w:keepLines/>
        <w:spacing w:before="80" w:after="40"/>
      </w:pPr>
      <w:r>
        <w:rPr>
          <w:b/>
        </w:rPr>
        <w:t xml:space="preserve">Remains open: </w:t>
      </w:r>
      <w:r>
        <w:t>Both the conclusion and its opposite fit the premises. Ask for the question that targets the open case and an explanation of why its answer matters. “Not established” does not mean “false.”</w:t>
      </w:r>
    </w:p>
    <w:p w14:paraId="01289857" w14:textId="77777777" w:rsidR="00275325" w:rsidRDefault="005C749E">
      <w:pPr>
        <w:keepLines/>
        <w:spacing w:before="80" w:after="40"/>
      </w:pPr>
      <w:r>
        <w:rPr>
          <w:b/>
        </w:rPr>
        <w:t xml:space="preserve">Conflicts with the premises: </w:t>
      </w:r>
      <w:r>
        <w:t>The rule and facts establish the opposite. Under the receipt rule, for example, no attached receipt would rule out eligibility. A claim of eligibility would then conflict with the premises. Require an explanation of the contradiction, not a search for exceptions.</w:t>
      </w:r>
    </w:p>
    <w:p w14:paraId="0D68F72F" w14:textId="77777777" w:rsidR="00275325" w:rsidRDefault="005C749E">
      <w:pPr>
        <w:keepLines/>
        <w:spacing w:before="80" w:after="40"/>
      </w:pPr>
      <w:r>
        <w:rPr>
          <w:b/>
        </w:rPr>
        <w:t xml:space="preserve">Credit and feedback: </w:t>
      </w:r>
      <w:r>
        <w:t>Read the question and explanation together. Short ordinary-language questions can be fully correct; do not require labels, notation, or truth tables. A correct question still needs an explanation. Match feedback to the specific conditional issue, not one stock question.</w:t>
      </w:r>
    </w:p>
    <w:p w14:paraId="0EDF74AF" w14:textId="77777777" w:rsidR="00275325" w:rsidRDefault="005C749E">
      <w:r>
        <w:br w:type="page"/>
      </w:r>
    </w:p>
    <w:p w14:paraId="2D8C1BCE" w14:textId="77777777" w:rsidR="00275325" w:rsidRDefault="005C749E">
      <w:pPr>
        <w:pStyle w:val="Heading1"/>
      </w:pPr>
      <w:r>
        <w:lastRenderedPageBreak/>
        <w:t>Learning Target 4: Seeing what is missing from the evidence</w:t>
      </w:r>
    </w:p>
    <w:p w14:paraId="73136ED5" w14:textId="77777777" w:rsidR="00275325" w:rsidRDefault="005C749E">
      <w:pPr>
        <w:pStyle w:val="Reflex"/>
      </w:pPr>
      <w:r>
        <w:rPr>
          <w:b/>
          <w:i w:val="0"/>
          <w:color w:val="1F4E79"/>
        </w:rPr>
        <w:t xml:space="preserve">Student reflex: </w:t>
      </w:r>
      <w:r>
        <w:t>Compared with what? What cases or outcomes are we not seeing?</w:t>
      </w:r>
    </w:p>
    <w:p w14:paraId="4B8FE464" w14:textId="77777777" w:rsidR="00275325" w:rsidRDefault="005C749E">
      <w:pPr>
        <w:pStyle w:val="Heading2"/>
      </w:pPr>
      <w:r>
        <w:t>Three Cases</w:t>
      </w:r>
    </w:p>
    <w:tbl>
      <w:tblPr>
        <w:tblStyle w:val="TableGrid"/>
        <w:tblW w:w="0" w:type="auto"/>
        <w:jc w:val="center"/>
        <w:tblLayout w:type="fixed"/>
        <w:tblLook w:val="04A0" w:firstRow="1" w:lastRow="0" w:firstColumn="1" w:lastColumn="0" w:noHBand="0" w:noVBand="1"/>
      </w:tblPr>
      <w:tblGrid>
        <w:gridCol w:w="2376"/>
        <w:gridCol w:w="8568"/>
      </w:tblGrid>
      <w:tr w:rsidR="00275325" w14:paraId="031F69F4" w14:textId="77777777">
        <w:trPr>
          <w:tblHeader/>
          <w:jc w:val="center"/>
        </w:trPr>
        <w:tc>
          <w:tcPr>
            <w:tcW w:w="2376" w:type="dxa"/>
            <w:shd w:val="clear" w:color="auto" w:fill="1F4E79"/>
            <w:tcMar>
              <w:top w:w="90" w:type="dxa"/>
              <w:left w:w="100" w:type="dxa"/>
              <w:bottom w:w="90" w:type="dxa"/>
              <w:right w:w="100" w:type="dxa"/>
            </w:tcMar>
          </w:tcPr>
          <w:p w14:paraId="6A39AE10" w14:textId="77777777" w:rsidR="00275325" w:rsidRDefault="005C749E">
            <w:r>
              <w:rPr>
                <w:b/>
                <w:color w:val="FFFFFF"/>
                <w:sz w:val="20"/>
              </w:rPr>
              <w:t>Case</w:t>
            </w:r>
          </w:p>
        </w:tc>
        <w:tc>
          <w:tcPr>
            <w:tcW w:w="8568" w:type="dxa"/>
            <w:shd w:val="clear" w:color="auto" w:fill="1F4E79"/>
            <w:tcMar>
              <w:top w:w="90" w:type="dxa"/>
              <w:left w:w="100" w:type="dxa"/>
              <w:bottom w:w="90" w:type="dxa"/>
              <w:right w:w="100" w:type="dxa"/>
            </w:tcMar>
          </w:tcPr>
          <w:p w14:paraId="41D77E91" w14:textId="77777777" w:rsidR="00275325" w:rsidRDefault="005C749E">
            <w:r>
              <w:rPr>
                <w:b/>
                <w:color w:val="FFFFFF"/>
                <w:sz w:val="20"/>
              </w:rPr>
              <w:t>Prompt and instructor note</w:t>
            </w:r>
          </w:p>
        </w:tc>
      </w:tr>
      <w:tr w:rsidR="00275325" w14:paraId="15B816C7" w14:textId="77777777">
        <w:trPr>
          <w:cantSplit/>
          <w:jc w:val="center"/>
        </w:trPr>
        <w:tc>
          <w:tcPr>
            <w:tcW w:w="2376" w:type="dxa"/>
            <w:shd w:val="clear" w:color="auto" w:fill="D9EAF7"/>
            <w:tcMar>
              <w:top w:w="90" w:type="dxa"/>
              <w:left w:w="110" w:type="dxa"/>
              <w:bottom w:w="90" w:type="dxa"/>
              <w:right w:w="110" w:type="dxa"/>
            </w:tcMar>
          </w:tcPr>
          <w:p w14:paraId="673070FB" w14:textId="77777777" w:rsidR="00275325" w:rsidRDefault="005C749E">
            <w:pPr>
              <w:spacing w:after="0"/>
            </w:pPr>
            <w:r>
              <w:rPr>
                <w:b/>
                <w:color w:val="1F4E79"/>
              </w:rPr>
              <w:t>Clearly unsettled</w:t>
            </w:r>
          </w:p>
        </w:tc>
        <w:tc>
          <w:tcPr>
            <w:tcW w:w="8568" w:type="dxa"/>
            <w:shd w:val="clear" w:color="auto" w:fill="D9EAF7"/>
            <w:tcMar>
              <w:top w:w="90" w:type="dxa"/>
              <w:left w:w="110" w:type="dxa"/>
              <w:bottom w:w="90" w:type="dxa"/>
              <w:right w:w="110" w:type="dxa"/>
            </w:tcMar>
          </w:tcPr>
          <w:p w14:paraId="486B47FE" w14:textId="77777777" w:rsidR="00275325" w:rsidRDefault="005C749E">
            <w:r>
              <w:t>A rehabilitation clinic reports that 180 of the 200 patients who completed its new eight-week program improved by at least 10 points on a mobility scale. The clinic concludes that the program is highly effective.</w:t>
            </w:r>
          </w:p>
          <w:p w14:paraId="56B5C0F3" w14:textId="77777777" w:rsidR="00275325" w:rsidRDefault="005C749E">
            <w:pPr>
              <w:spacing w:after="40"/>
            </w:pPr>
            <w:r>
              <w:rPr>
                <w:b/>
                <w:color w:val="1F4E79"/>
              </w:rPr>
              <w:t xml:space="preserve">Instructor note: </w:t>
            </w:r>
            <w:r>
              <w:rPr>
                <w:i/>
              </w:rPr>
              <w:t>The result lacks key reference information. We do not know how comparable patients would have changed without the program, and the report excludes enrolled patients who did not complete it. Either missing cell could materially change the interpretation.</w:t>
            </w:r>
          </w:p>
        </w:tc>
      </w:tr>
      <w:tr w:rsidR="00275325" w14:paraId="3A693812" w14:textId="77777777">
        <w:trPr>
          <w:cantSplit/>
          <w:jc w:val="center"/>
        </w:trPr>
        <w:tc>
          <w:tcPr>
            <w:tcW w:w="2376" w:type="dxa"/>
            <w:shd w:val="clear" w:color="auto" w:fill="FFFFFF"/>
            <w:tcMar>
              <w:top w:w="90" w:type="dxa"/>
              <w:left w:w="110" w:type="dxa"/>
              <w:bottom w:w="90" w:type="dxa"/>
              <w:right w:w="110" w:type="dxa"/>
            </w:tcMar>
          </w:tcPr>
          <w:p w14:paraId="524E845E" w14:textId="77777777" w:rsidR="00275325" w:rsidRDefault="005C749E">
            <w:pPr>
              <w:spacing w:after="0"/>
            </w:pPr>
            <w:r>
              <w:rPr>
                <w:b/>
                <w:color w:val="1F4E79"/>
              </w:rPr>
              <w:t>Practically sufficient</w:t>
            </w:r>
          </w:p>
        </w:tc>
        <w:tc>
          <w:tcPr>
            <w:tcW w:w="8568" w:type="dxa"/>
            <w:shd w:val="clear" w:color="auto" w:fill="FFFFFF"/>
            <w:tcMar>
              <w:top w:w="90" w:type="dxa"/>
              <w:left w:w="110" w:type="dxa"/>
              <w:bottom w:w="90" w:type="dxa"/>
              <w:right w:w="110" w:type="dxa"/>
            </w:tcMar>
          </w:tcPr>
          <w:p w14:paraId="2938ED35" w14:textId="77777777" w:rsidR="00275325" w:rsidRDefault="005C749E">
            <w:r>
              <w:t>Four hundred eligible patients were randomly assigned to the new rehabilitation program or usual care. At eight weeks, 142 of 190 observed program patients and 91 of 188 observed usual-care patients improved by at least 10 points; attrition and reasons for missing follow-up were similar in both groups. The report concludes that improvement was more common in the program group during the eight-week study.</w:t>
            </w:r>
          </w:p>
          <w:p w14:paraId="07F0C2AE" w14:textId="77777777" w:rsidR="00275325" w:rsidRDefault="005C749E">
            <w:pPr>
              <w:spacing w:after="40"/>
            </w:pPr>
            <w:r>
              <w:rPr>
                <w:b/>
                <w:color w:val="1F4E79"/>
              </w:rPr>
              <w:t xml:space="preserve">Instructor note: </w:t>
            </w:r>
            <w:r>
              <w:rPr>
                <w:i/>
              </w:rPr>
              <w:t>The denominator, comparison group, time period, and missing-case information needed for the modest comparative claim are visible.</w:t>
            </w:r>
          </w:p>
        </w:tc>
      </w:tr>
      <w:tr w:rsidR="00275325" w14:paraId="1D0DEEB2" w14:textId="77777777">
        <w:trPr>
          <w:cantSplit/>
          <w:jc w:val="center"/>
        </w:trPr>
        <w:tc>
          <w:tcPr>
            <w:tcW w:w="2376" w:type="dxa"/>
            <w:shd w:val="clear" w:color="auto" w:fill="EEF5FA"/>
            <w:tcMar>
              <w:top w:w="90" w:type="dxa"/>
              <w:left w:w="110" w:type="dxa"/>
              <w:bottom w:w="90" w:type="dxa"/>
              <w:right w:w="110" w:type="dxa"/>
            </w:tcMar>
          </w:tcPr>
          <w:p w14:paraId="7198E07B" w14:textId="77777777" w:rsidR="00275325" w:rsidRDefault="005C749E">
            <w:pPr>
              <w:spacing w:after="0"/>
            </w:pPr>
            <w:r>
              <w:rPr>
                <w:b/>
                <w:color w:val="1F4E79"/>
              </w:rPr>
              <w:t>Borderline / tempting to nitpick</w:t>
            </w:r>
          </w:p>
        </w:tc>
        <w:tc>
          <w:tcPr>
            <w:tcW w:w="8568" w:type="dxa"/>
            <w:shd w:val="clear" w:color="auto" w:fill="EEF5FA"/>
            <w:tcMar>
              <w:top w:w="90" w:type="dxa"/>
              <w:left w:w="110" w:type="dxa"/>
              <w:bottom w:w="90" w:type="dxa"/>
              <w:right w:w="110" w:type="dxa"/>
            </w:tcMar>
          </w:tcPr>
          <w:p w14:paraId="10E8B5A3" w14:textId="77777777" w:rsidR="00275325" w:rsidRDefault="005C749E">
            <w:r>
              <w:t>The county reports that turnout in the 2026 municipal election was 61.4 percent of registered voters, compared with 55.0 percent in the previous municipal election under the same registration rules. The county concludes that registered-voter turnout was higher this time.</w:t>
            </w:r>
          </w:p>
          <w:p w14:paraId="4A8CF7DE" w14:textId="77777777" w:rsidR="00275325" w:rsidRDefault="005C749E">
            <w:pPr>
              <w:spacing w:after="40"/>
            </w:pPr>
            <w:r>
              <w:rPr>
                <w:b/>
                <w:color w:val="1F4E79"/>
              </w:rPr>
              <w:t xml:space="preserve">Instructor note: </w:t>
            </w:r>
            <w:r>
              <w:rPr>
                <w:i/>
              </w:rPr>
              <w:t>The relevant denominator, baseline, and comparison period are already supplied for the narrow descriptive conclusion. Requiring precinct-by-precinct breakdowns or a comparison with presidential elections would add detail without being necessary to interpret this claim.</w:t>
            </w:r>
          </w:p>
        </w:tc>
      </w:tr>
    </w:tbl>
    <w:p w14:paraId="3A8ADD7C" w14:textId="77777777" w:rsidR="00275325" w:rsidRDefault="00275325">
      <w:pPr>
        <w:spacing w:after="20"/>
      </w:pPr>
    </w:p>
    <w:p w14:paraId="7C5FA813" w14:textId="77777777" w:rsidR="00275325" w:rsidRDefault="005C749E">
      <w:pPr>
        <w:pStyle w:val="Heading2"/>
      </w:pPr>
      <w:r>
        <w:t>Sample Student Responses to the Clearly Unsettled Case</w:t>
      </w:r>
    </w:p>
    <w:tbl>
      <w:tblPr>
        <w:tblStyle w:val="TableGrid"/>
        <w:tblW w:w="0" w:type="auto"/>
        <w:jc w:val="center"/>
        <w:tblLayout w:type="fixed"/>
        <w:tblLook w:val="04A0" w:firstRow="1" w:lastRow="0" w:firstColumn="1" w:lastColumn="0" w:noHBand="0" w:noVBand="1"/>
      </w:tblPr>
      <w:tblGrid>
        <w:gridCol w:w="2088"/>
        <w:gridCol w:w="6120"/>
        <w:gridCol w:w="2736"/>
      </w:tblGrid>
      <w:tr w:rsidR="00275325" w14:paraId="5B0D8AED" w14:textId="77777777">
        <w:trPr>
          <w:tblHeader/>
          <w:jc w:val="center"/>
        </w:trPr>
        <w:tc>
          <w:tcPr>
            <w:tcW w:w="2088" w:type="dxa"/>
            <w:shd w:val="clear" w:color="auto" w:fill="1F4E79"/>
            <w:tcMar>
              <w:top w:w="90" w:type="dxa"/>
              <w:left w:w="100" w:type="dxa"/>
              <w:bottom w:w="90" w:type="dxa"/>
              <w:right w:w="100" w:type="dxa"/>
            </w:tcMar>
          </w:tcPr>
          <w:p w14:paraId="7CBFCC6C" w14:textId="77777777" w:rsidR="00275325" w:rsidRDefault="005C749E">
            <w:r>
              <w:rPr>
                <w:b/>
                <w:color w:val="FFFFFF"/>
                <w:sz w:val="20"/>
              </w:rPr>
              <w:t>Response type</w:t>
            </w:r>
          </w:p>
        </w:tc>
        <w:tc>
          <w:tcPr>
            <w:tcW w:w="6120" w:type="dxa"/>
            <w:shd w:val="clear" w:color="auto" w:fill="1F4E79"/>
            <w:tcMar>
              <w:top w:w="90" w:type="dxa"/>
              <w:left w:w="100" w:type="dxa"/>
              <w:bottom w:w="90" w:type="dxa"/>
              <w:right w:w="100" w:type="dxa"/>
            </w:tcMar>
          </w:tcPr>
          <w:p w14:paraId="65123E3F" w14:textId="77777777" w:rsidR="00275325" w:rsidRDefault="005C749E">
            <w:r>
              <w:rPr>
                <w:b/>
                <w:color w:val="FFFFFF"/>
                <w:sz w:val="20"/>
              </w:rPr>
              <w:t>Sample student response</w:t>
            </w:r>
          </w:p>
        </w:tc>
        <w:tc>
          <w:tcPr>
            <w:tcW w:w="2736" w:type="dxa"/>
            <w:shd w:val="clear" w:color="auto" w:fill="1F4E79"/>
            <w:tcMar>
              <w:top w:w="90" w:type="dxa"/>
              <w:left w:w="100" w:type="dxa"/>
              <w:bottom w:w="90" w:type="dxa"/>
              <w:right w:w="100" w:type="dxa"/>
            </w:tcMar>
          </w:tcPr>
          <w:p w14:paraId="07EAF033" w14:textId="77777777" w:rsidR="00275325" w:rsidRDefault="005C749E">
            <w:r>
              <w:rPr>
                <w:b/>
                <w:color w:val="FFFFFF"/>
                <w:sz w:val="20"/>
              </w:rPr>
              <w:t>Evaluation</w:t>
            </w:r>
          </w:p>
        </w:tc>
      </w:tr>
      <w:tr w:rsidR="00275325" w14:paraId="03398DE9" w14:textId="77777777">
        <w:trPr>
          <w:cantSplit/>
          <w:jc w:val="center"/>
        </w:trPr>
        <w:tc>
          <w:tcPr>
            <w:tcW w:w="2088" w:type="dxa"/>
            <w:shd w:val="clear" w:color="auto" w:fill="FFFFFF"/>
            <w:tcMar>
              <w:top w:w="80" w:type="dxa"/>
              <w:left w:w="95" w:type="dxa"/>
              <w:bottom w:w="80" w:type="dxa"/>
              <w:right w:w="95" w:type="dxa"/>
            </w:tcMar>
          </w:tcPr>
          <w:p w14:paraId="31977AFE" w14:textId="77777777" w:rsidR="00275325" w:rsidRDefault="005C749E">
            <w:r>
              <w:rPr>
                <w:b/>
                <w:color w:val="1F4E79"/>
              </w:rPr>
              <w:t>Strong</w:t>
            </w:r>
          </w:p>
        </w:tc>
        <w:tc>
          <w:tcPr>
            <w:tcW w:w="6120" w:type="dxa"/>
            <w:shd w:val="clear" w:color="auto" w:fill="FFFFFF"/>
            <w:tcMar>
              <w:top w:w="80" w:type="dxa"/>
              <w:left w:w="95" w:type="dxa"/>
              <w:bottom w:w="80" w:type="dxa"/>
              <w:right w:w="95" w:type="dxa"/>
            </w:tcMar>
          </w:tcPr>
          <w:p w14:paraId="1B563466" w14:textId="77777777" w:rsidR="00275325" w:rsidRDefault="005C749E">
            <w:r>
              <w:t>How did comparable patients who did not receive the program change over the same eight weeks, and what happened to enrolled patients who did not complete it?</w:t>
            </w:r>
          </w:p>
        </w:tc>
        <w:tc>
          <w:tcPr>
            <w:tcW w:w="2736" w:type="dxa"/>
            <w:shd w:val="clear" w:color="auto" w:fill="FFFFFF"/>
            <w:tcMar>
              <w:top w:w="80" w:type="dxa"/>
              <w:left w:w="95" w:type="dxa"/>
              <w:bottom w:w="80" w:type="dxa"/>
              <w:right w:w="95" w:type="dxa"/>
            </w:tcMar>
          </w:tcPr>
          <w:p w14:paraId="5524E387" w14:textId="77777777" w:rsidR="00275325" w:rsidRDefault="005C749E">
            <w:r>
              <w:rPr>
                <w:i/>
                <w:color w:val="5A5A5A"/>
              </w:rPr>
              <w:t>Requests the comparison and missing cases that could change the result.</w:t>
            </w:r>
          </w:p>
        </w:tc>
      </w:tr>
      <w:tr w:rsidR="00275325" w14:paraId="3D409F77" w14:textId="77777777">
        <w:trPr>
          <w:cantSplit/>
          <w:jc w:val="center"/>
        </w:trPr>
        <w:tc>
          <w:tcPr>
            <w:tcW w:w="2088" w:type="dxa"/>
            <w:shd w:val="clear" w:color="auto" w:fill="F2F2F2"/>
            <w:tcMar>
              <w:top w:w="80" w:type="dxa"/>
              <w:left w:w="95" w:type="dxa"/>
              <w:bottom w:w="80" w:type="dxa"/>
              <w:right w:w="95" w:type="dxa"/>
            </w:tcMar>
          </w:tcPr>
          <w:p w14:paraId="5205CB48" w14:textId="77777777" w:rsidR="00275325" w:rsidRDefault="005C749E">
            <w:r>
              <w:rPr>
                <w:b/>
                <w:color w:val="1F4E79"/>
              </w:rPr>
              <w:t>Broad but incomplete</w:t>
            </w:r>
          </w:p>
        </w:tc>
        <w:tc>
          <w:tcPr>
            <w:tcW w:w="6120" w:type="dxa"/>
            <w:shd w:val="clear" w:color="auto" w:fill="F2F2F2"/>
            <w:tcMar>
              <w:top w:w="80" w:type="dxa"/>
              <w:left w:w="95" w:type="dxa"/>
              <w:bottom w:w="80" w:type="dxa"/>
              <w:right w:w="95" w:type="dxa"/>
            </w:tcMar>
          </w:tcPr>
          <w:p w14:paraId="4354665F" w14:textId="77777777" w:rsidR="00275325" w:rsidRDefault="005C749E">
            <w:r>
              <w:t>Was the study reliable?</w:t>
            </w:r>
          </w:p>
        </w:tc>
        <w:tc>
          <w:tcPr>
            <w:tcW w:w="2736" w:type="dxa"/>
            <w:shd w:val="clear" w:color="auto" w:fill="F2F2F2"/>
            <w:tcMar>
              <w:top w:w="80" w:type="dxa"/>
              <w:left w:w="95" w:type="dxa"/>
              <w:bottom w:w="80" w:type="dxa"/>
              <w:right w:w="95" w:type="dxa"/>
            </w:tcMar>
          </w:tcPr>
          <w:p w14:paraId="17E8137F" w14:textId="77777777" w:rsidR="00275325" w:rsidRDefault="005C749E">
            <w:r>
              <w:rPr>
                <w:i/>
                <w:color w:val="5A5A5A"/>
              </w:rPr>
              <w:t>Signals concern but does not identify the missing reference information.</w:t>
            </w:r>
          </w:p>
        </w:tc>
      </w:tr>
      <w:tr w:rsidR="00275325" w14:paraId="6745C652" w14:textId="77777777">
        <w:trPr>
          <w:cantSplit/>
          <w:jc w:val="center"/>
        </w:trPr>
        <w:tc>
          <w:tcPr>
            <w:tcW w:w="2088" w:type="dxa"/>
            <w:shd w:val="clear" w:color="auto" w:fill="FFFFFF"/>
            <w:tcMar>
              <w:top w:w="80" w:type="dxa"/>
              <w:left w:w="95" w:type="dxa"/>
              <w:bottom w:w="80" w:type="dxa"/>
              <w:right w:w="95" w:type="dxa"/>
            </w:tcMar>
          </w:tcPr>
          <w:p w14:paraId="73327823" w14:textId="77777777" w:rsidR="00275325" w:rsidRDefault="005C749E">
            <w:r>
              <w:rPr>
                <w:b/>
                <w:color w:val="1F4E79"/>
              </w:rPr>
              <w:t>Nitpicky</w:t>
            </w:r>
          </w:p>
        </w:tc>
        <w:tc>
          <w:tcPr>
            <w:tcW w:w="6120" w:type="dxa"/>
            <w:shd w:val="clear" w:color="auto" w:fill="FFFFFF"/>
            <w:tcMar>
              <w:top w:w="80" w:type="dxa"/>
              <w:left w:w="95" w:type="dxa"/>
              <w:bottom w:w="80" w:type="dxa"/>
              <w:right w:w="95" w:type="dxa"/>
            </w:tcMar>
          </w:tcPr>
          <w:p w14:paraId="7237C3BC" w14:textId="77777777" w:rsidR="00275325" w:rsidRDefault="005C749E">
            <w:r>
              <w:t>Were the 10-point improvements evenly spread across every week of the program?</w:t>
            </w:r>
          </w:p>
        </w:tc>
        <w:tc>
          <w:tcPr>
            <w:tcW w:w="2736" w:type="dxa"/>
            <w:shd w:val="clear" w:color="auto" w:fill="FFFFFF"/>
            <w:tcMar>
              <w:top w:w="80" w:type="dxa"/>
              <w:left w:w="95" w:type="dxa"/>
              <w:bottom w:w="80" w:type="dxa"/>
              <w:right w:w="95" w:type="dxa"/>
            </w:tcMar>
          </w:tcPr>
          <w:p w14:paraId="605CE839" w14:textId="77777777" w:rsidR="00275325" w:rsidRDefault="005C749E">
            <w:r>
              <w:rPr>
                <w:i/>
                <w:color w:val="5A5A5A"/>
              </w:rPr>
              <w:t>The weekly pattern is not needed to interpret the stated eight-week outcome.</w:t>
            </w:r>
          </w:p>
        </w:tc>
      </w:tr>
      <w:tr w:rsidR="00275325" w14:paraId="5846C7CD" w14:textId="77777777">
        <w:trPr>
          <w:cantSplit/>
          <w:jc w:val="center"/>
        </w:trPr>
        <w:tc>
          <w:tcPr>
            <w:tcW w:w="2088" w:type="dxa"/>
            <w:shd w:val="clear" w:color="auto" w:fill="F2F2F2"/>
            <w:tcMar>
              <w:top w:w="80" w:type="dxa"/>
              <w:left w:w="95" w:type="dxa"/>
              <w:bottom w:w="80" w:type="dxa"/>
              <w:right w:w="95" w:type="dxa"/>
            </w:tcMar>
          </w:tcPr>
          <w:p w14:paraId="7AD61C0A" w14:textId="77777777" w:rsidR="00275325" w:rsidRDefault="005C749E">
            <w:r>
              <w:rPr>
                <w:b/>
                <w:color w:val="1F4E79"/>
              </w:rPr>
              <w:lastRenderedPageBreak/>
              <w:t>Differently worded but acceptable</w:t>
            </w:r>
          </w:p>
        </w:tc>
        <w:tc>
          <w:tcPr>
            <w:tcW w:w="6120" w:type="dxa"/>
            <w:shd w:val="clear" w:color="auto" w:fill="F2F2F2"/>
            <w:tcMar>
              <w:top w:w="80" w:type="dxa"/>
              <w:left w:w="95" w:type="dxa"/>
              <w:bottom w:w="80" w:type="dxa"/>
              <w:right w:w="95" w:type="dxa"/>
            </w:tcMar>
          </w:tcPr>
          <w:p w14:paraId="02FEAD30" w14:textId="77777777" w:rsidR="00275325" w:rsidRDefault="005C749E">
            <w:r>
              <w:t>What is the missing cell here - how often would similar patients have improved without this program?</w:t>
            </w:r>
          </w:p>
        </w:tc>
        <w:tc>
          <w:tcPr>
            <w:tcW w:w="2736" w:type="dxa"/>
            <w:shd w:val="clear" w:color="auto" w:fill="F2F2F2"/>
            <w:tcMar>
              <w:top w:w="80" w:type="dxa"/>
              <w:left w:w="95" w:type="dxa"/>
              <w:bottom w:w="80" w:type="dxa"/>
              <w:right w:w="95" w:type="dxa"/>
            </w:tcMar>
          </w:tcPr>
          <w:p w14:paraId="7F46C028" w14:textId="77777777" w:rsidR="00275325" w:rsidRDefault="005C749E">
            <w:r>
              <w:rPr>
                <w:i/>
                <w:color w:val="5A5A5A"/>
              </w:rPr>
              <w:t>Uses different language but locates the absent counterfactual comparison.</w:t>
            </w:r>
          </w:p>
        </w:tc>
      </w:tr>
    </w:tbl>
    <w:p w14:paraId="2E6BEB66" w14:textId="77777777" w:rsidR="00275325" w:rsidRDefault="005C749E">
      <w:r>
        <w:br w:type="page"/>
      </w:r>
    </w:p>
    <w:p w14:paraId="7D327F6B" w14:textId="77777777" w:rsidR="00275325" w:rsidRDefault="005C749E">
      <w:pPr>
        <w:pStyle w:val="Heading1"/>
      </w:pPr>
      <w:r>
        <w:lastRenderedPageBreak/>
        <w:t>Learning Target 5: Seeing whether the evidence fits the claim</w:t>
      </w:r>
    </w:p>
    <w:p w14:paraId="154F2422" w14:textId="77777777" w:rsidR="00275325" w:rsidRDefault="005C749E">
      <w:pPr>
        <w:pStyle w:val="Reflex"/>
      </w:pPr>
      <w:r>
        <w:rPr>
          <w:b/>
          <w:i w:val="0"/>
          <w:color w:val="1F4E79"/>
        </w:rPr>
        <w:t xml:space="preserve">Student reflex: </w:t>
      </w:r>
      <w:r>
        <w:t>Does this evidence actually put us in a position to know that?</w:t>
      </w:r>
    </w:p>
    <w:p w14:paraId="1829F45C" w14:textId="77777777" w:rsidR="00275325" w:rsidRDefault="005C749E">
      <w:pPr>
        <w:pStyle w:val="Heading2"/>
      </w:pPr>
      <w:r>
        <w:t>Three Cases</w:t>
      </w:r>
    </w:p>
    <w:tbl>
      <w:tblPr>
        <w:tblStyle w:val="TableGrid"/>
        <w:tblW w:w="0" w:type="auto"/>
        <w:jc w:val="center"/>
        <w:tblLayout w:type="fixed"/>
        <w:tblLook w:val="04A0" w:firstRow="1" w:lastRow="0" w:firstColumn="1" w:lastColumn="0" w:noHBand="0" w:noVBand="1"/>
      </w:tblPr>
      <w:tblGrid>
        <w:gridCol w:w="2376"/>
        <w:gridCol w:w="8568"/>
      </w:tblGrid>
      <w:tr w:rsidR="00275325" w14:paraId="7946124C" w14:textId="77777777">
        <w:trPr>
          <w:tblHeader/>
          <w:jc w:val="center"/>
        </w:trPr>
        <w:tc>
          <w:tcPr>
            <w:tcW w:w="2376" w:type="dxa"/>
            <w:shd w:val="clear" w:color="auto" w:fill="1F4E79"/>
            <w:tcMar>
              <w:top w:w="90" w:type="dxa"/>
              <w:left w:w="100" w:type="dxa"/>
              <w:bottom w:w="90" w:type="dxa"/>
              <w:right w:w="100" w:type="dxa"/>
            </w:tcMar>
          </w:tcPr>
          <w:p w14:paraId="1C903641" w14:textId="77777777" w:rsidR="00275325" w:rsidRDefault="005C749E">
            <w:r>
              <w:rPr>
                <w:b/>
                <w:color w:val="FFFFFF"/>
                <w:sz w:val="20"/>
              </w:rPr>
              <w:t>Case</w:t>
            </w:r>
          </w:p>
        </w:tc>
        <w:tc>
          <w:tcPr>
            <w:tcW w:w="8568" w:type="dxa"/>
            <w:shd w:val="clear" w:color="auto" w:fill="1F4E79"/>
            <w:tcMar>
              <w:top w:w="90" w:type="dxa"/>
              <w:left w:w="100" w:type="dxa"/>
              <w:bottom w:w="90" w:type="dxa"/>
              <w:right w:w="100" w:type="dxa"/>
            </w:tcMar>
          </w:tcPr>
          <w:p w14:paraId="637E245E" w14:textId="77777777" w:rsidR="00275325" w:rsidRDefault="005C749E">
            <w:r>
              <w:rPr>
                <w:b/>
                <w:color w:val="FFFFFF"/>
                <w:sz w:val="20"/>
              </w:rPr>
              <w:t>Prompt and instructor note</w:t>
            </w:r>
          </w:p>
        </w:tc>
      </w:tr>
      <w:tr w:rsidR="00275325" w14:paraId="647F749E" w14:textId="77777777">
        <w:trPr>
          <w:cantSplit/>
          <w:jc w:val="center"/>
        </w:trPr>
        <w:tc>
          <w:tcPr>
            <w:tcW w:w="2376" w:type="dxa"/>
            <w:shd w:val="clear" w:color="auto" w:fill="D9EAF7"/>
            <w:tcMar>
              <w:top w:w="90" w:type="dxa"/>
              <w:left w:w="110" w:type="dxa"/>
              <w:bottom w:w="90" w:type="dxa"/>
              <w:right w:w="110" w:type="dxa"/>
            </w:tcMar>
          </w:tcPr>
          <w:p w14:paraId="1038D9E2" w14:textId="77777777" w:rsidR="00275325" w:rsidRDefault="005C749E">
            <w:pPr>
              <w:spacing w:after="0"/>
            </w:pPr>
            <w:r>
              <w:rPr>
                <w:b/>
                <w:color w:val="1F4E79"/>
              </w:rPr>
              <w:t>Clearly unsettled</w:t>
            </w:r>
          </w:p>
        </w:tc>
        <w:tc>
          <w:tcPr>
            <w:tcW w:w="8568" w:type="dxa"/>
            <w:shd w:val="clear" w:color="auto" w:fill="D9EAF7"/>
            <w:tcMar>
              <w:top w:w="90" w:type="dxa"/>
              <w:left w:w="110" w:type="dxa"/>
              <w:bottom w:w="90" w:type="dxa"/>
              <w:right w:w="110" w:type="dxa"/>
            </w:tcMar>
          </w:tcPr>
          <w:p w14:paraId="700B78B5" w14:textId="77777777" w:rsidR="00275325" w:rsidRDefault="005C749E">
            <w:r>
              <w:t>A software company posts a poll to followers of its LinkedIn page. Of 8,000 respondents, 82 percent say they would prefer to work fully remotely. The CEO concludes that most U.S. workers prefer fully remote work.</w:t>
            </w:r>
          </w:p>
          <w:p w14:paraId="0322AE25" w14:textId="77777777" w:rsidR="00275325" w:rsidRDefault="005C749E">
            <w:pPr>
              <w:spacing w:after="40"/>
            </w:pPr>
            <w:r>
              <w:rPr>
                <w:b/>
                <w:color w:val="1F4E79"/>
              </w:rPr>
              <w:t xml:space="preserve">Instructor note: </w:t>
            </w:r>
            <w:r>
              <w:rPr>
                <w:i/>
              </w:rPr>
              <w:t>The poll may accurately describe respondents, but the evidence-to-target path is weak unless the people who saw and answered the company poll can reasonably represent U.S. workers as a whole.</w:t>
            </w:r>
          </w:p>
        </w:tc>
      </w:tr>
      <w:tr w:rsidR="00275325" w14:paraId="333AEE96" w14:textId="77777777">
        <w:trPr>
          <w:cantSplit/>
          <w:jc w:val="center"/>
        </w:trPr>
        <w:tc>
          <w:tcPr>
            <w:tcW w:w="2376" w:type="dxa"/>
            <w:shd w:val="clear" w:color="auto" w:fill="FFFFFF"/>
            <w:tcMar>
              <w:top w:w="90" w:type="dxa"/>
              <w:left w:w="110" w:type="dxa"/>
              <w:bottom w:w="90" w:type="dxa"/>
              <w:right w:w="110" w:type="dxa"/>
            </w:tcMar>
          </w:tcPr>
          <w:p w14:paraId="08A9AD91" w14:textId="77777777" w:rsidR="00275325" w:rsidRDefault="005C749E">
            <w:pPr>
              <w:spacing w:after="0"/>
            </w:pPr>
            <w:r>
              <w:rPr>
                <w:b/>
                <w:color w:val="1F4E79"/>
              </w:rPr>
              <w:t>Practically sufficient</w:t>
            </w:r>
          </w:p>
        </w:tc>
        <w:tc>
          <w:tcPr>
            <w:tcW w:w="8568" w:type="dxa"/>
            <w:shd w:val="clear" w:color="auto" w:fill="FFFFFF"/>
            <w:tcMar>
              <w:top w:w="90" w:type="dxa"/>
              <w:left w:w="110" w:type="dxa"/>
              <w:bottom w:w="90" w:type="dxa"/>
              <w:right w:w="110" w:type="dxa"/>
            </w:tcMar>
          </w:tcPr>
          <w:p w14:paraId="707447D3" w14:textId="77777777" w:rsidR="00275325" w:rsidRDefault="005C749E">
            <w:r>
              <w:t>A national survey draws a probability sample of working U.S. adults from an address-based sampling frame, reports response rates and weighting procedures, and asks a pretested question distinguishing fully remote, hybrid, and fully on-site work. The report concludes that, within the survey's stated margin of error, a majority of the sampled population prefers either fully remote or hybrid work.</w:t>
            </w:r>
          </w:p>
          <w:p w14:paraId="37F453AD" w14:textId="77777777" w:rsidR="00275325" w:rsidRDefault="005C749E">
            <w:pPr>
              <w:spacing w:after="40"/>
            </w:pPr>
            <w:r>
              <w:rPr>
                <w:b/>
                <w:color w:val="1F4E79"/>
              </w:rPr>
              <w:t xml:space="preserve">Instructor note: </w:t>
            </w:r>
            <w:r>
              <w:rPr>
                <w:i/>
              </w:rPr>
              <w:t>The sample-to-population and measure-to-construct links are explicit enough for the calibrated survey conclusion.</w:t>
            </w:r>
          </w:p>
        </w:tc>
      </w:tr>
      <w:tr w:rsidR="00275325" w14:paraId="069F23B1" w14:textId="77777777">
        <w:trPr>
          <w:cantSplit/>
          <w:jc w:val="center"/>
        </w:trPr>
        <w:tc>
          <w:tcPr>
            <w:tcW w:w="2376" w:type="dxa"/>
            <w:shd w:val="clear" w:color="auto" w:fill="EEF5FA"/>
            <w:tcMar>
              <w:top w:w="90" w:type="dxa"/>
              <w:left w:w="110" w:type="dxa"/>
              <w:bottom w:w="90" w:type="dxa"/>
              <w:right w:w="110" w:type="dxa"/>
            </w:tcMar>
          </w:tcPr>
          <w:p w14:paraId="76DFC90E" w14:textId="77777777" w:rsidR="00275325" w:rsidRDefault="005C749E">
            <w:pPr>
              <w:spacing w:after="0"/>
            </w:pPr>
            <w:r>
              <w:rPr>
                <w:b/>
                <w:color w:val="1F4E79"/>
              </w:rPr>
              <w:t>Borderline / tempting to nitpick</w:t>
            </w:r>
          </w:p>
        </w:tc>
        <w:tc>
          <w:tcPr>
            <w:tcW w:w="8568" w:type="dxa"/>
            <w:shd w:val="clear" w:color="auto" w:fill="EEF5FA"/>
            <w:tcMar>
              <w:top w:w="90" w:type="dxa"/>
              <w:left w:w="110" w:type="dxa"/>
              <w:bottom w:w="90" w:type="dxa"/>
              <w:right w:w="110" w:type="dxa"/>
            </w:tcMar>
          </w:tcPr>
          <w:p w14:paraId="023112C1" w14:textId="77777777" w:rsidR="00275325" w:rsidRDefault="005C749E">
            <w:r>
              <w:t>A marine biologist uses a calibrated temperature logger to record water temperature every minute at Reef A for one day and concludes that water temperature at that logger location ranged from 25.8 to 27.1 degrees Celsius that day.</w:t>
            </w:r>
          </w:p>
          <w:p w14:paraId="2FA9228C" w14:textId="77777777" w:rsidR="00275325" w:rsidRDefault="005C749E">
            <w:pPr>
              <w:spacing w:after="40"/>
            </w:pPr>
            <w:r>
              <w:rPr>
                <w:b/>
                <w:color w:val="1F4E79"/>
              </w:rPr>
              <w:t xml:space="preserve">Instructor note: </w:t>
            </w:r>
            <w:r>
              <w:rPr>
                <w:i/>
              </w:rPr>
              <w:t>The evidence is narrow, but so is the claim. Complaining that one reef cannot represent the entire ocean attacks a broader claim that was never made.</w:t>
            </w:r>
          </w:p>
        </w:tc>
      </w:tr>
    </w:tbl>
    <w:p w14:paraId="2228E4B7" w14:textId="77777777" w:rsidR="00275325" w:rsidRDefault="00275325">
      <w:pPr>
        <w:spacing w:after="20"/>
      </w:pPr>
    </w:p>
    <w:p w14:paraId="15DB08CA" w14:textId="77777777" w:rsidR="00275325" w:rsidRDefault="005C749E">
      <w:pPr>
        <w:pStyle w:val="Heading2"/>
      </w:pPr>
      <w:r>
        <w:t>Sample Student Responses to the Clearly Unsettled Case</w:t>
      </w:r>
    </w:p>
    <w:tbl>
      <w:tblPr>
        <w:tblStyle w:val="TableGrid"/>
        <w:tblW w:w="0" w:type="auto"/>
        <w:jc w:val="center"/>
        <w:tblLayout w:type="fixed"/>
        <w:tblLook w:val="04A0" w:firstRow="1" w:lastRow="0" w:firstColumn="1" w:lastColumn="0" w:noHBand="0" w:noVBand="1"/>
      </w:tblPr>
      <w:tblGrid>
        <w:gridCol w:w="2088"/>
        <w:gridCol w:w="6120"/>
        <w:gridCol w:w="2736"/>
      </w:tblGrid>
      <w:tr w:rsidR="00275325" w14:paraId="3406ED4D" w14:textId="77777777">
        <w:trPr>
          <w:tblHeader/>
          <w:jc w:val="center"/>
        </w:trPr>
        <w:tc>
          <w:tcPr>
            <w:tcW w:w="2088" w:type="dxa"/>
            <w:shd w:val="clear" w:color="auto" w:fill="1F4E79"/>
            <w:tcMar>
              <w:top w:w="90" w:type="dxa"/>
              <w:left w:w="100" w:type="dxa"/>
              <w:bottom w:w="90" w:type="dxa"/>
              <w:right w:w="100" w:type="dxa"/>
            </w:tcMar>
          </w:tcPr>
          <w:p w14:paraId="0EECEBBA" w14:textId="77777777" w:rsidR="00275325" w:rsidRDefault="005C749E">
            <w:r>
              <w:rPr>
                <w:b/>
                <w:color w:val="FFFFFF"/>
                <w:sz w:val="20"/>
              </w:rPr>
              <w:t>Response type</w:t>
            </w:r>
          </w:p>
        </w:tc>
        <w:tc>
          <w:tcPr>
            <w:tcW w:w="6120" w:type="dxa"/>
            <w:shd w:val="clear" w:color="auto" w:fill="1F4E79"/>
            <w:tcMar>
              <w:top w:w="90" w:type="dxa"/>
              <w:left w:w="100" w:type="dxa"/>
              <w:bottom w:w="90" w:type="dxa"/>
              <w:right w:w="100" w:type="dxa"/>
            </w:tcMar>
          </w:tcPr>
          <w:p w14:paraId="321BF6D8" w14:textId="77777777" w:rsidR="00275325" w:rsidRDefault="005C749E">
            <w:r>
              <w:rPr>
                <w:b/>
                <w:color w:val="FFFFFF"/>
                <w:sz w:val="20"/>
              </w:rPr>
              <w:t>Sample student response</w:t>
            </w:r>
          </w:p>
        </w:tc>
        <w:tc>
          <w:tcPr>
            <w:tcW w:w="2736" w:type="dxa"/>
            <w:shd w:val="clear" w:color="auto" w:fill="1F4E79"/>
            <w:tcMar>
              <w:top w:w="90" w:type="dxa"/>
              <w:left w:w="100" w:type="dxa"/>
              <w:bottom w:w="90" w:type="dxa"/>
              <w:right w:w="100" w:type="dxa"/>
            </w:tcMar>
          </w:tcPr>
          <w:p w14:paraId="75D97FC0" w14:textId="77777777" w:rsidR="00275325" w:rsidRDefault="005C749E">
            <w:r>
              <w:rPr>
                <w:b/>
                <w:color w:val="FFFFFF"/>
                <w:sz w:val="20"/>
              </w:rPr>
              <w:t>Evaluation</w:t>
            </w:r>
          </w:p>
        </w:tc>
      </w:tr>
      <w:tr w:rsidR="00275325" w14:paraId="5DEFC581" w14:textId="77777777">
        <w:trPr>
          <w:cantSplit/>
          <w:jc w:val="center"/>
        </w:trPr>
        <w:tc>
          <w:tcPr>
            <w:tcW w:w="2088" w:type="dxa"/>
            <w:shd w:val="clear" w:color="auto" w:fill="FFFFFF"/>
            <w:tcMar>
              <w:top w:w="80" w:type="dxa"/>
              <w:left w:w="95" w:type="dxa"/>
              <w:bottom w:w="80" w:type="dxa"/>
              <w:right w:w="95" w:type="dxa"/>
            </w:tcMar>
          </w:tcPr>
          <w:p w14:paraId="08CA62E4" w14:textId="77777777" w:rsidR="00275325" w:rsidRDefault="005C749E">
            <w:r>
              <w:rPr>
                <w:b/>
                <w:color w:val="1F4E79"/>
              </w:rPr>
              <w:t>Strong</w:t>
            </w:r>
          </w:p>
        </w:tc>
        <w:tc>
          <w:tcPr>
            <w:tcW w:w="6120" w:type="dxa"/>
            <w:shd w:val="clear" w:color="auto" w:fill="FFFFFF"/>
            <w:tcMar>
              <w:top w:w="80" w:type="dxa"/>
              <w:left w:w="95" w:type="dxa"/>
              <w:bottom w:w="80" w:type="dxa"/>
              <w:right w:w="95" w:type="dxa"/>
            </w:tcMar>
          </w:tcPr>
          <w:p w14:paraId="574075FB" w14:textId="77777777" w:rsidR="00275325" w:rsidRDefault="005C749E">
            <w:r>
              <w:t>Who had a chance to see and answer this LinkedIn poll, and why should those respondents be representative of U.S. workers generally?</w:t>
            </w:r>
          </w:p>
        </w:tc>
        <w:tc>
          <w:tcPr>
            <w:tcW w:w="2736" w:type="dxa"/>
            <w:shd w:val="clear" w:color="auto" w:fill="FFFFFF"/>
            <w:tcMar>
              <w:top w:w="80" w:type="dxa"/>
              <w:left w:w="95" w:type="dxa"/>
              <w:bottom w:w="80" w:type="dxa"/>
              <w:right w:w="95" w:type="dxa"/>
            </w:tcMar>
          </w:tcPr>
          <w:p w14:paraId="5EFAFE04" w14:textId="77777777" w:rsidR="00275325" w:rsidRDefault="005C749E">
            <w:r>
              <w:rPr>
                <w:i/>
                <w:color w:val="5A5A5A"/>
              </w:rPr>
              <w:t>Identifies both the evidence and the population claim, then tests representativeness.</w:t>
            </w:r>
          </w:p>
        </w:tc>
      </w:tr>
      <w:tr w:rsidR="00275325" w14:paraId="53E0E326" w14:textId="77777777">
        <w:trPr>
          <w:cantSplit/>
          <w:jc w:val="center"/>
        </w:trPr>
        <w:tc>
          <w:tcPr>
            <w:tcW w:w="2088" w:type="dxa"/>
            <w:shd w:val="clear" w:color="auto" w:fill="F2F2F2"/>
            <w:tcMar>
              <w:top w:w="80" w:type="dxa"/>
              <w:left w:w="95" w:type="dxa"/>
              <w:bottom w:w="80" w:type="dxa"/>
              <w:right w:w="95" w:type="dxa"/>
            </w:tcMar>
          </w:tcPr>
          <w:p w14:paraId="5278CED6" w14:textId="77777777" w:rsidR="00275325" w:rsidRDefault="005C749E">
            <w:r>
              <w:rPr>
                <w:b/>
                <w:color w:val="1F4E79"/>
              </w:rPr>
              <w:t>Broad but incomplete</w:t>
            </w:r>
          </w:p>
        </w:tc>
        <w:tc>
          <w:tcPr>
            <w:tcW w:w="6120" w:type="dxa"/>
            <w:shd w:val="clear" w:color="auto" w:fill="F2F2F2"/>
            <w:tcMar>
              <w:top w:w="80" w:type="dxa"/>
              <w:left w:w="95" w:type="dxa"/>
              <w:bottom w:w="80" w:type="dxa"/>
              <w:right w:w="95" w:type="dxa"/>
            </w:tcMar>
          </w:tcPr>
          <w:p w14:paraId="7FA3D3EF" w14:textId="77777777" w:rsidR="00275325" w:rsidRDefault="005C749E">
            <w:r>
              <w:t>Is this a reliable survey?</w:t>
            </w:r>
          </w:p>
        </w:tc>
        <w:tc>
          <w:tcPr>
            <w:tcW w:w="2736" w:type="dxa"/>
            <w:shd w:val="clear" w:color="auto" w:fill="F2F2F2"/>
            <w:tcMar>
              <w:top w:w="80" w:type="dxa"/>
              <w:left w:w="95" w:type="dxa"/>
              <w:bottom w:w="80" w:type="dxa"/>
              <w:right w:w="95" w:type="dxa"/>
            </w:tcMar>
          </w:tcPr>
          <w:p w14:paraId="4B06831E" w14:textId="77777777" w:rsidR="00275325" w:rsidRDefault="005C749E">
            <w:r>
              <w:rPr>
                <w:i/>
                <w:color w:val="5A5A5A"/>
              </w:rPr>
              <w:t>Points toward fit, but does not identify which evidence-to-target link may fail.</w:t>
            </w:r>
          </w:p>
        </w:tc>
      </w:tr>
      <w:tr w:rsidR="00275325" w14:paraId="50029CF4" w14:textId="77777777">
        <w:trPr>
          <w:cantSplit/>
          <w:jc w:val="center"/>
        </w:trPr>
        <w:tc>
          <w:tcPr>
            <w:tcW w:w="2088" w:type="dxa"/>
            <w:shd w:val="clear" w:color="auto" w:fill="FFFFFF"/>
            <w:tcMar>
              <w:top w:w="80" w:type="dxa"/>
              <w:left w:w="95" w:type="dxa"/>
              <w:bottom w:w="80" w:type="dxa"/>
              <w:right w:w="95" w:type="dxa"/>
            </w:tcMar>
          </w:tcPr>
          <w:p w14:paraId="75770D0E" w14:textId="77777777" w:rsidR="00275325" w:rsidRDefault="005C749E">
            <w:r>
              <w:rPr>
                <w:b/>
                <w:color w:val="1F4E79"/>
              </w:rPr>
              <w:t>Nitpicky</w:t>
            </w:r>
          </w:p>
        </w:tc>
        <w:tc>
          <w:tcPr>
            <w:tcW w:w="6120" w:type="dxa"/>
            <w:shd w:val="clear" w:color="auto" w:fill="FFFFFF"/>
            <w:tcMar>
              <w:top w:w="80" w:type="dxa"/>
              <w:left w:w="95" w:type="dxa"/>
              <w:bottom w:w="80" w:type="dxa"/>
              <w:right w:w="95" w:type="dxa"/>
            </w:tcMar>
          </w:tcPr>
          <w:p w14:paraId="733CD3A2" w14:textId="77777777" w:rsidR="00275325" w:rsidRDefault="005C749E">
            <w:r>
              <w:t>Did the CEO personally write the poll question?</w:t>
            </w:r>
          </w:p>
        </w:tc>
        <w:tc>
          <w:tcPr>
            <w:tcW w:w="2736" w:type="dxa"/>
            <w:shd w:val="clear" w:color="auto" w:fill="FFFFFF"/>
            <w:tcMar>
              <w:top w:w="80" w:type="dxa"/>
              <w:left w:w="95" w:type="dxa"/>
              <w:bottom w:w="80" w:type="dxa"/>
              <w:right w:w="95" w:type="dxa"/>
            </w:tcMar>
          </w:tcPr>
          <w:p w14:paraId="7F8FF04C" w14:textId="77777777" w:rsidR="00275325" w:rsidRDefault="005C749E">
            <w:r>
              <w:rPr>
                <w:i/>
                <w:color w:val="5A5A5A"/>
              </w:rPr>
              <w:t>Authorship may be interesting, but it does not address the central sampling problem.</w:t>
            </w:r>
          </w:p>
        </w:tc>
      </w:tr>
      <w:tr w:rsidR="00275325" w14:paraId="09DA9ECF" w14:textId="77777777">
        <w:trPr>
          <w:cantSplit/>
          <w:jc w:val="center"/>
        </w:trPr>
        <w:tc>
          <w:tcPr>
            <w:tcW w:w="2088" w:type="dxa"/>
            <w:shd w:val="clear" w:color="auto" w:fill="F2F2F2"/>
            <w:tcMar>
              <w:top w:w="80" w:type="dxa"/>
              <w:left w:w="95" w:type="dxa"/>
              <w:bottom w:w="80" w:type="dxa"/>
              <w:right w:w="95" w:type="dxa"/>
            </w:tcMar>
          </w:tcPr>
          <w:p w14:paraId="0F4C1489" w14:textId="77777777" w:rsidR="00275325" w:rsidRDefault="005C749E">
            <w:r>
              <w:rPr>
                <w:b/>
                <w:color w:val="1F4E79"/>
              </w:rPr>
              <w:t>Differently worded but acceptable</w:t>
            </w:r>
          </w:p>
        </w:tc>
        <w:tc>
          <w:tcPr>
            <w:tcW w:w="6120" w:type="dxa"/>
            <w:shd w:val="clear" w:color="auto" w:fill="F2F2F2"/>
            <w:tcMar>
              <w:top w:w="80" w:type="dxa"/>
              <w:left w:w="95" w:type="dxa"/>
              <w:bottom w:w="80" w:type="dxa"/>
              <w:right w:w="95" w:type="dxa"/>
            </w:tcMar>
          </w:tcPr>
          <w:p w14:paraId="74BC81B7" w14:textId="77777777" w:rsidR="00275325" w:rsidRDefault="005C749E">
            <w:r>
              <w:t>Are followers who choose to answer a software company's poll the kind of sample that can stand in for all U.S. workers?</w:t>
            </w:r>
          </w:p>
        </w:tc>
        <w:tc>
          <w:tcPr>
            <w:tcW w:w="2736" w:type="dxa"/>
            <w:shd w:val="clear" w:color="auto" w:fill="F2F2F2"/>
            <w:tcMar>
              <w:top w:w="80" w:type="dxa"/>
              <w:left w:w="95" w:type="dxa"/>
              <w:bottom w:w="80" w:type="dxa"/>
              <w:right w:w="95" w:type="dxa"/>
            </w:tcMar>
          </w:tcPr>
          <w:p w14:paraId="7EC9414A" w14:textId="77777777" w:rsidR="00275325" w:rsidRDefault="005C749E">
            <w:r>
              <w:rPr>
                <w:i/>
                <w:color w:val="5A5A5A"/>
              </w:rPr>
              <w:t>Different wording, same representativeness test.</w:t>
            </w:r>
          </w:p>
        </w:tc>
      </w:tr>
    </w:tbl>
    <w:p w14:paraId="230B2678" w14:textId="77777777" w:rsidR="00275325" w:rsidRDefault="005C749E">
      <w:r>
        <w:br w:type="page"/>
      </w:r>
    </w:p>
    <w:p w14:paraId="7DCF9711" w14:textId="77777777" w:rsidR="00275325" w:rsidRDefault="005C749E">
      <w:pPr>
        <w:pStyle w:val="Heading1"/>
      </w:pPr>
      <w:r>
        <w:lastRenderedPageBreak/>
        <w:t>Learning Target 6: Seeing other ways the result could happen</w:t>
      </w:r>
    </w:p>
    <w:p w14:paraId="1FE36056" w14:textId="77777777" w:rsidR="00275325" w:rsidRDefault="005C749E">
      <w:pPr>
        <w:pStyle w:val="Reflex"/>
      </w:pPr>
      <w:r>
        <w:rPr>
          <w:b/>
          <w:i w:val="0"/>
          <w:color w:val="1F4E79"/>
        </w:rPr>
        <w:t xml:space="preserve">Student reflex: </w:t>
      </w:r>
      <w:r>
        <w:t>What else could explain this? How could we tell which explanation is right?</w:t>
      </w:r>
    </w:p>
    <w:p w14:paraId="70F39224" w14:textId="77777777" w:rsidR="00275325" w:rsidRDefault="005C749E">
      <w:pPr>
        <w:pStyle w:val="Heading2"/>
      </w:pPr>
      <w:r>
        <w:t>Three Cases</w:t>
      </w:r>
    </w:p>
    <w:tbl>
      <w:tblPr>
        <w:tblStyle w:val="TableGrid"/>
        <w:tblW w:w="0" w:type="auto"/>
        <w:jc w:val="center"/>
        <w:tblLayout w:type="fixed"/>
        <w:tblLook w:val="04A0" w:firstRow="1" w:lastRow="0" w:firstColumn="1" w:lastColumn="0" w:noHBand="0" w:noVBand="1"/>
      </w:tblPr>
      <w:tblGrid>
        <w:gridCol w:w="2376"/>
        <w:gridCol w:w="8568"/>
      </w:tblGrid>
      <w:tr w:rsidR="00275325" w14:paraId="7070F767" w14:textId="77777777">
        <w:trPr>
          <w:tblHeader/>
          <w:jc w:val="center"/>
        </w:trPr>
        <w:tc>
          <w:tcPr>
            <w:tcW w:w="2376" w:type="dxa"/>
            <w:shd w:val="clear" w:color="auto" w:fill="1F4E79"/>
            <w:tcMar>
              <w:top w:w="90" w:type="dxa"/>
              <w:left w:w="100" w:type="dxa"/>
              <w:bottom w:w="90" w:type="dxa"/>
              <w:right w:w="100" w:type="dxa"/>
            </w:tcMar>
          </w:tcPr>
          <w:p w14:paraId="4B3A532F" w14:textId="77777777" w:rsidR="00275325" w:rsidRDefault="005C749E">
            <w:r>
              <w:rPr>
                <w:b/>
                <w:color w:val="FFFFFF"/>
                <w:sz w:val="20"/>
              </w:rPr>
              <w:t>Case</w:t>
            </w:r>
          </w:p>
        </w:tc>
        <w:tc>
          <w:tcPr>
            <w:tcW w:w="8568" w:type="dxa"/>
            <w:shd w:val="clear" w:color="auto" w:fill="1F4E79"/>
            <w:tcMar>
              <w:top w:w="90" w:type="dxa"/>
              <w:left w:w="100" w:type="dxa"/>
              <w:bottom w:w="90" w:type="dxa"/>
              <w:right w:w="100" w:type="dxa"/>
            </w:tcMar>
          </w:tcPr>
          <w:p w14:paraId="1795FF54" w14:textId="77777777" w:rsidR="00275325" w:rsidRDefault="005C749E">
            <w:r>
              <w:rPr>
                <w:b/>
                <w:color w:val="FFFFFF"/>
                <w:sz w:val="20"/>
              </w:rPr>
              <w:t>Prompt and instructor note</w:t>
            </w:r>
          </w:p>
        </w:tc>
      </w:tr>
      <w:tr w:rsidR="00275325" w14:paraId="523B563F" w14:textId="77777777">
        <w:trPr>
          <w:cantSplit/>
          <w:jc w:val="center"/>
        </w:trPr>
        <w:tc>
          <w:tcPr>
            <w:tcW w:w="2376" w:type="dxa"/>
            <w:shd w:val="clear" w:color="auto" w:fill="D9EAF7"/>
            <w:tcMar>
              <w:top w:w="90" w:type="dxa"/>
              <w:left w:w="110" w:type="dxa"/>
              <w:bottom w:w="90" w:type="dxa"/>
              <w:right w:w="110" w:type="dxa"/>
            </w:tcMar>
          </w:tcPr>
          <w:p w14:paraId="38D02BF8" w14:textId="77777777" w:rsidR="00275325" w:rsidRDefault="005C749E">
            <w:pPr>
              <w:spacing w:after="0"/>
            </w:pPr>
            <w:r>
              <w:rPr>
                <w:b/>
                <w:color w:val="1F4E79"/>
              </w:rPr>
              <w:t>Clearly unsettled</w:t>
            </w:r>
          </w:p>
        </w:tc>
        <w:tc>
          <w:tcPr>
            <w:tcW w:w="8568" w:type="dxa"/>
            <w:shd w:val="clear" w:color="auto" w:fill="D9EAF7"/>
            <w:tcMar>
              <w:top w:w="90" w:type="dxa"/>
              <w:left w:w="110" w:type="dxa"/>
              <w:bottom w:w="90" w:type="dxa"/>
              <w:right w:w="110" w:type="dxa"/>
            </w:tcMar>
          </w:tcPr>
          <w:p w14:paraId="2533A52F" w14:textId="77777777" w:rsidR="00275325" w:rsidRDefault="005C749E">
            <w:r>
              <w:t>A real-estate report finds that neighborhoods receiving a new Whole Foods store experienced faster home-price growth over the next three years than neighborhoods that did not. The report concludes that opening a Whole Foods raises nearby property values.</w:t>
            </w:r>
          </w:p>
          <w:p w14:paraId="4954B89E" w14:textId="77777777" w:rsidR="00275325" w:rsidRDefault="005C749E">
            <w:pPr>
              <w:spacing w:after="40"/>
            </w:pPr>
            <w:r>
              <w:rPr>
                <w:b/>
                <w:color w:val="1F4E79"/>
              </w:rPr>
              <w:t xml:space="preserve">Instructor note: </w:t>
            </w:r>
            <w:r>
              <w:rPr>
                <w:i/>
              </w:rPr>
              <w:t>The association is compatible with serious rivals: Whole Foods may select neighborhoods already likely to appreciate, or development and rising wealth may cause both store entry and price growth. The needed question must ask what evidence would distinguish these models.</w:t>
            </w:r>
          </w:p>
        </w:tc>
      </w:tr>
      <w:tr w:rsidR="00275325" w14:paraId="48D9A638" w14:textId="77777777">
        <w:trPr>
          <w:cantSplit/>
          <w:jc w:val="center"/>
        </w:trPr>
        <w:tc>
          <w:tcPr>
            <w:tcW w:w="2376" w:type="dxa"/>
            <w:shd w:val="clear" w:color="auto" w:fill="FFFFFF"/>
            <w:tcMar>
              <w:top w:w="90" w:type="dxa"/>
              <w:left w:w="110" w:type="dxa"/>
              <w:bottom w:w="90" w:type="dxa"/>
              <w:right w:w="110" w:type="dxa"/>
            </w:tcMar>
          </w:tcPr>
          <w:p w14:paraId="4968885A" w14:textId="77777777" w:rsidR="00275325" w:rsidRDefault="005C749E">
            <w:pPr>
              <w:spacing w:after="0"/>
            </w:pPr>
            <w:r>
              <w:rPr>
                <w:b/>
                <w:color w:val="1F4E79"/>
              </w:rPr>
              <w:t>Practically sufficient</w:t>
            </w:r>
          </w:p>
        </w:tc>
        <w:tc>
          <w:tcPr>
            <w:tcW w:w="8568" w:type="dxa"/>
            <w:shd w:val="clear" w:color="auto" w:fill="FFFFFF"/>
            <w:tcMar>
              <w:top w:w="90" w:type="dxa"/>
              <w:left w:w="110" w:type="dxa"/>
              <w:bottom w:w="90" w:type="dxa"/>
              <w:right w:w="110" w:type="dxa"/>
            </w:tcMar>
          </w:tcPr>
          <w:p w14:paraId="4A43B9E3" w14:textId="77777777" w:rsidR="00275325" w:rsidRDefault="005C749E">
            <w:r>
              <w:t>In a large trial, students within each school were randomly assigned to receive a new scheduling-reminder system or the existing system. Baseline attendance was similar, the reminder system was the only planned difference, and the treatment group had a higher attendance rate. The researchers conclude that the reminders increased attendance in this study population.</w:t>
            </w:r>
          </w:p>
          <w:p w14:paraId="233F2776" w14:textId="77777777" w:rsidR="00275325" w:rsidRDefault="005C749E">
            <w:pPr>
              <w:spacing w:after="40"/>
            </w:pPr>
            <w:r>
              <w:rPr>
                <w:b/>
                <w:color w:val="1F4E79"/>
              </w:rPr>
              <w:t xml:space="preserve">Instructor note: </w:t>
            </w:r>
            <w:r>
              <w:rPr>
                <w:i/>
              </w:rPr>
              <w:t>Random assignment substantially separates the treatment from selection and common-cause explanations, and the causal conclusion is limited to the studied population and intervention.</w:t>
            </w:r>
          </w:p>
        </w:tc>
      </w:tr>
      <w:tr w:rsidR="00275325" w14:paraId="51666A0C" w14:textId="77777777">
        <w:trPr>
          <w:cantSplit/>
          <w:jc w:val="center"/>
        </w:trPr>
        <w:tc>
          <w:tcPr>
            <w:tcW w:w="2376" w:type="dxa"/>
            <w:shd w:val="clear" w:color="auto" w:fill="EEF5FA"/>
            <w:tcMar>
              <w:top w:w="90" w:type="dxa"/>
              <w:left w:w="110" w:type="dxa"/>
              <w:bottom w:w="90" w:type="dxa"/>
              <w:right w:w="110" w:type="dxa"/>
            </w:tcMar>
          </w:tcPr>
          <w:p w14:paraId="60CA8FB4" w14:textId="77777777" w:rsidR="00275325" w:rsidRDefault="005C749E">
            <w:pPr>
              <w:spacing w:after="0"/>
            </w:pPr>
            <w:r>
              <w:rPr>
                <w:b/>
                <w:color w:val="1F4E79"/>
              </w:rPr>
              <w:t>Borderline / tempting to nitpick</w:t>
            </w:r>
          </w:p>
        </w:tc>
        <w:tc>
          <w:tcPr>
            <w:tcW w:w="8568" w:type="dxa"/>
            <w:shd w:val="clear" w:color="auto" w:fill="EEF5FA"/>
            <w:tcMar>
              <w:top w:w="90" w:type="dxa"/>
              <w:left w:w="110" w:type="dxa"/>
              <w:bottom w:w="90" w:type="dxa"/>
              <w:right w:w="110" w:type="dxa"/>
            </w:tcMar>
          </w:tcPr>
          <w:p w14:paraId="55F7D2AB" w14:textId="77777777" w:rsidR="00275325" w:rsidRDefault="005C749E">
            <w:r>
              <w:t>After a catered lunch, 19 diners became ill. Every ill diner had eaten the egg salad, none of the diners who avoided it became ill, symptom timing matched salmonella, and the same strain was found in both patient samples and the leftover egg salad. Investigators conclude that the egg salad caused the outbreak.</w:t>
            </w:r>
          </w:p>
          <w:p w14:paraId="1F59C1A4" w14:textId="77777777" w:rsidR="00275325" w:rsidRDefault="005C749E">
            <w:pPr>
              <w:spacing w:after="40"/>
            </w:pPr>
            <w:r>
              <w:rPr>
                <w:b/>
                <w:color w:val="1F4E79"/>
              </w:rPr>
              <w:t xml:space="preserve">Instructor note: </w:t>
            </w:r>
            <w:r>
              <w:rPr>
                <w:i/>
              </w:rPr>
              <w:t>Logically possible alternatives remain, but several independent observations discriminate strongly in favor of the egg-salad explanation. Demanding elimination of every remote possibility would be nitpicking.</w:t>
            </w:r>
          </w:p>
        </w:tc>
      </w:tr>
    </w:tbl>
    <w:p w14:paraId="60FF3469" w14:textId="77777777" w:rsidR="00275325" w:rsidRDefault="00275325">
      <w:pPr>
        <w:spacing w:after="20"/>
      </w:pPr>
    </w:p>
    <w:p w14:paraId="398A891F" w14:textId="77777777" w:rsidR="00275325" w:rsidRDefault="005C749E">
      <w:pPr>
        <w:pStyle w:val="Heading2"/>
      </w:pPr>
      <w:r>
        <w:t>Sample Student Responses to the Clearly Unsettled Case</w:t>
      </w:r>
    </w:p>
    <w:tbl>
      <w:tblPr>
        <w:tblStyle w:val="TableGrid"/>
        <w:tblW w:w="0" w:type="auto"/>
        <w:jc w:val="center"/>
        <w:tblLayout w:type="fixed"/>
        <w:tblLook w:val="04A0" w:firstRow="1" w:lastRow="0" w:firstColumn="1" w:lastColumn="0" w:noHBand="0" w:noVBand="1"/>
      </w:tblPr>
      <w:tblGrid>
        <w:gridCol w:w="2088"/>
        <w:gridCol w:w="6120"/>
        <w:gridCol w:w="2736"/>
      </w:tblGrid>
      <w:tr w:rsidR="00275325" w14:paraId="69E039F8" w14:textId="77777777">
        <w:trPr>
          <w:tblHeader/>
          <w:jc w:val="center"/>
        </w:trPr>
        <w:tc>
          <w:tcPr>
            <w:tcW w:w="2088" w:type="dxa"/>
            <w:shd w:val="clear" w:color="auto" w:fill="1F4E79"/>
            <w:tcMar>
              <w:top w:w="90" w:type="dxa"/>
              <w:left w:w="100" w:type="dxa"/>
              <w:bottom w:w="90" w:type="dxa"/>
              <w:right w:w="100" w:type="dxa"/>
            </w:tcMar>
          </w:tcPr>
          <w:p w14:paraId="12BB3019" w14:textId="77777777" w:rsidR="00275325" w:rsidRDefault="005C749E">
            <w:r>
              <w:rPr>
                <w:b/>
                <w:color w:val="FFFFFF"/>
                <w:sz w:val="20"/>
              </w:rPr>
              <w:t>Response type</w:t>
            </w:r>
          </w:p>
        </w:tc>
        <w:tc>
          <w:tcPr>
            <w:tcW w:w="6120" w:type="dxa"/>
            <w:shd w:val="clear" w:color="auto" w:fill="1F4E79"/>
            <w:tcMar>
              <w:top w:w="90" w:type="dxa"/>
              <w:left w:w="100" w:type="dxa"/>
              <w:bottom w:w="90" w:type="dxa"/>
              <w:right w:w="100" w:type="dxa"/>
            </w:tcMar>
          </w:tcPr>
          <w:p w14:paraId="3230EDA6" w14:textId="77777777" w:rsidR="00275325" w:rsidRDefault="005C749E">
            <w:r>
              <w:rPr>
                <w:b/>
                <w:color w:val="FFFFFF"/>
                <w:sz w:val="20"/>
              </w:rPr>
              <w:t>Sample student response</w:t>
            </w:r>
          </w:p>
        </w:tc>
        <w:tc>
          <w:tcPr>
            <w:tcW w:w="2736" w:type="dxa"/>
            <w:shd w:val="clear" w:color="auto" w:fill="1F4E79"/>
            <w:tcMar>
              <w:top w:w="90" w:type="dxa"/>
              <w:left w:w="100" w:type="dxa"/>
              <w:bottom w:w="90" w:type="dxa"/>
              <w:right w:w="100" w:type="dxa"/>
            </w:tcMar>
          </w:tcPr>
          <w:p w14:paraId="1A19C67C" w14:textId="77777777" w:rsidR="00275325" w:rsidRDefault="005C749E">
            <w:r>
              <w:rPr>
                <w:b/>
                <w:color w:val="FFFFFF"/>
                <w:sz w:val="20"/>
              </w:rPr>
              <w:t>Evaluation</w:t>
            </w:r>
          </w:p>
        </w:tc>
      </w:tr>
      <w:tr w:rsidR="00275325" w14:paraId="1AF76F13" w14:textId="77777777">
        <w:trPr>
          <w:cantSplit/>
          <w:jc w:val="center"/>
        </w:trPr>
        <w:tc>
          <w:tcPr>
            <w:tcW w:w="2088" w:type="dxa"/>
            <w:shd w:val="clear" w:color="auto" w:fill="FFFFFF"/>
            <w:tcMar>
              <w:top w:w="80" w:type="dxa"/>
              <w:left w:w="95" w:type="dxa"/>
              <w:bottom w:w="80" w:type="dxa"/>
              <w:right w:w="95" w:type="dxa"/>
            </w:tcMar>
          </w:tcPr>
          <w:p w14:paraId="5A1CBE67" w14:textId="77777777" w:rsidR="00275325" w:rsidRDefault="005C749E">
            <w:r>
              <w:rPr>
                <w:b/>
                <w:color w:val="1F4E79"/>
              </w:rPr>
              <w:t>Strong</w:t>
            </w:r>
          </w:p>
        </w:tc>
        <w:tc>
          <w:tcPr>
            <w:tcW w:w="6120" w:type="dxa"/>
            <w:shd w:val="clear" w:color="auto" w:fill="FFFFFF"/>
            <w:tcMar>
              <w:top w:w="80" w:type="dxa"/>
              <w:left w:w="95" w:type="dxa"/>
              <w:bottom w:w="80" w:type="dxa"/>
              <w:right w:w="95" w:type="dxa"/>
            </w:tcMar>
          </w:tcPr>
          <w:p w14:paraId="1BC1510F" w14:textId="77777777" w:rsidR="00275325" w:rsidRDefault="005C749E">
            <w:r>
              <w:t>Could Whole Foods be choosing neighborhoods where prices were already rising? What were the pre-opening price trends in neighborhoods that later got a store compared with similar neighborhoods that did not?</w:t>
            </w:r>
          </w:p>
        </w:tc>
        <w:tc>
          <w:tcPr>
            <w:tcW w:w="2736" w:type="dxa"/>
            <w:shd w:val="clear" w:color="auto" w:fill="FFFFFF"/>
            <w:tcMar>
              <w:top w:w="80" w:type="dxa"/>
              <w:left w:w="95" w:type="dxa"/>
              <w:bottom w:w="80" w:type="dxa"/>
              <w:right w:w="95" w:type="dxa"/>
            </w:tcMar>
          </w:tcPr>
          <w:p w14:paraId="624F658B" w14:textId="77777777" w:rsidR="00275325" w:rsidRDefault="005C749E">
            <w:r>
              <w:rPr>
                <w:i/>
                <w:color w:val="5A5A5A"/>
              </w:rPr>
              <w:t>Names a plausible selection rival and asks for discriminating evidence.</w:t>
            </w:r>
          </w:p>
        </w:tc>
      </w:tr>
      <w:tr w:rsidR="00275325" w14:paraId="41556966" w14:textId="77777777">
        <w:trPr>
          <w:cantSplit/>
          <w:jc w:val="center"/>
        </w:trPr>
        <w:tc>
          <w:tcPr>
            <w:tcW w:w="2088" w:type="dxa"/>
            <w:shd w:val="clear" w:color="auto" w:fill="F2F2F2"/>
            <w:tcMar>
              <w:top w:w="80" w:type="dxa"/>
              <w:left w:w="95" w:type="dxa"/>
              <w:bottom w:w="80" w:type="dxa"/>
              <w:right w:w="95" w:type="dxa"/>
            </w:tcMar>
          </w:tcPr>
          <w:p w14:paraId="216CDCC2" w14:textId="77777777" w:rsidR="00275325" w:rsidRDefault="005C749E">
            <w:r>
              <w:rPr>
                <w:b/>
                <w:color w:val="1F4E79"/>
              </w:rPr>
              <w:t>Broad but incomplete</w:t>
            </w:r>
          </w:p>
        </w:tc>
        <w:tc>
          <w:tcPr>
            <w:tcW w:w="6120" w:type="dxa"/>
            <w:shd w:val="clear" w:color="auto" w:fill="F2F2F2"/>
            <w:tcMar>
              <w:top w:w="80" w:type="dxa"/>
              <w:left w:w="95" w:type="dxa"/>
              <w:bottom w:w="80" w:type="dxa"/>
              <w:right w:w="95" w:type="dxa"/>
            </w:tcMar>
          </w:tcPr>
          <w:p w14:paraId="685DC26F" w14:textId="77777777" w:rsidR="00275325" w:rsidRDefault="005C749E">
            <w:r>
              <w:t>Could something else have caused the increase?</w:t>
            </w:r>
          </w:p>
        </w:tc>
        <w:tc>
          <w:tcPr>
            <w:tcW w:w="2736" w:type="dxa"/>
            <w:shd w:val="clear" w:color="auto" w:fill="F2F2F2"/>
            <w:tcMar>
              <w:top w:w="80" w:type="dxa"/>
              <w:left w:w="95" w:type="dxa"/>
              <w:bottom w:w="80" w:type="dxa"/>
              <w:right w:w="95" w:type="dxa"/>
            </w:tcMar>
          </w:tcPr>
          <w:p w14:paraId="6FF912DC" w14:textId="77777777" w:rsidR="00275325" w:rsidRDefault="005C749E">
            <w:r>
              <w:rPr>
                <w:i/>
                <w:color w:val="5A5A5A"/>
              </w:rPr>
              <w:t>Recognizes underdetermination but does not generate a specific rival or test.</w:t>
            </w:r>
          </w:p>
        </w:tc>
      </w:tr>
      <w:tr w:rsidR="00275325" w14:paraId="2A751B42" w14:textId="77777777">
        <w:trPr>
          <w:cantSplit/>
          <w:jc w:val="center"/>
        </w:trPr>
        <w:tc>
          <w:tcPr>
            <w:tcW w:w="2088" w:type="dxa"/>
            <w:shd w:val="clear" w:color="auto" w:fill="FFFFFF"/>
            <w:tcMar>
              <w:top w:w="80" w:type="dxa"/>
              <w:left w:w="95" w:type="dxa"/>
              <w:bottom w:w="80" w:type="dxa"/>
              <w:right w:w="95" w:type="dxa"/>
            </w:tcMar>
          </w:tcPr>
          <w:p w14:paraId="04B9420E" w14:textId="77777777" w:rsidR="00275325" w:rsidRDefault="005C749E">
            <w:r>
              <w:rPr>
                <w:b/>
                <w:color w:val="1F4E79"/>
              </w:rPr>
              <w:lastRenderedPageBreak/>
              <w:t>Nitpicky</w:t>
            </w:r>
          </w:p>
        </w:tc>
        <w:tc>
          <w:tcPr>
            <w:tcW w:w="6120" w:type="dxa"/>
            <w:shd w:val="clear" w:color="auto" w:fill="FFFFFF"/>
            <w:tcMar>
              <w:top w:w="80" w:type="dxa"/>
              <w:left w:w="95" w:type="dxa"/>
              <w:bottom w:w="80" w:type="dxa"/>
              <w:right w:w="95" w:type="dxa"/>
            </w:tcMar>
          </w:tcPr>
          <w:p w14:paraId="5227B7F3" w14:textId="77777777" w:rsidR="00275325" w:rsidRDefault="005C749E">
            <w:r>
              <w:t>Could one homeowner have renovated a kitchen right after the store opened?</w:t>
            </w:r>
          </w:p>
        </w:tc>
        <w:tc>
          <w:tcPr>
            <w:tcW w:w="2736" w:type="dxa"/>
            <w:shd w:val="clear" w:color="auto" w:fill="FFFFFF"/>
            <w:tcMar>
              <w:top w:w="80" w:type="dxa"/>
              <w:left w:w="95" w:type="dxa"/>
              <w:bottom w:w="80" w:type="dxa"/>
              <w:right w:w="95" w:type="dxa"/>
            </w:tcMar>
          </w:tcPr>
          <w:p w14:paraId="58C8CD34" w14:textId="77777777" w:rsidR="00275325" w:rsidRDefault="005C749E">
            <w:r>
              <w:rPr>
                <w:i/>
                <w:color w:val="5A5A5A"/>
              </w:rPr>
              <w:t>A one-house story cannot plausibly explain the neighborhood-level pattern.</w:t>
            </w:r>
          </w:p>
        </w:tc>
      </w:tr>
      <w:tr w:rsidR="00275325" w14:paraId="2B0C0E31" w14:textId="77777777">
        <w:trPr>
          <w:cantSplit/>
          <w:jc w:val="center"/>
        </w:trPr>
        <w:tc>
          <w:tcPr>
            <w:tcW w:w="2088" w:type="dxa"/>
            <w:shd w:val="clear" w:color="auto" w:fill="F2F2F2"/>
            <w:tcMar>
              <w:top w:w="80" w:type="dxa"/>
              <w:left w:w="95" w:type="dxa"/>
              <w:bottom w:w="80" w:type="dxa"/>
              <w:right w:w="95" w:type="dxa"/>
            </w:tcMar>
          </w:tcPr>
          <w:p w14:paraId="69A384DF" w14:textId="77777777" w:rsidR="00275325" w:rsidRDefault="005C749E">
            <w:r>
              <w:rPr>
                <w:b/>
                <w:color w:val="1F4E79"/>
              </w:rPr>
              <w:t>Differently worded but acceptable</w:t>
            </w:r>
          </w:p>
        </w:tc>
        <w:tc>
          <w:tcPr>
            <w:tcW w:w="6120" w:type="dxa"/>
            <w:shd w:val="clear" w:color="auto" w:fill="F2F2F2"/>
            <w:tcMar>
              <w:top w:w="80" w:type="dxa"/>
              <w:left w:w="95" w:type="dxa"/>
              <w:bottom w:w="80" w:type="dxa"/>
              <w:right w:w="95" w:type="dxa"/>
            </w:tcMar>
          </w:tcPr>
          <w:p w14:paraId="412D4D4E" w14:textId="77777777" w:rsidR="00275325" w:rsidRDefault="005C749E">
            <w:r>
              <w:t>How do we know the store changed the neighborhood rather than moved into a neighborhood that was already changing?</w:t>
            </w:r>
          </w:p>
        </w:tc>
        <w:tc>
          <w:tcPr>
            <w:tcW w:w="2736" w:type="dxa"/>
            <w:shd w:val="clear" w:color="auto" w:fill="F2F2F2"/>
            <w:tcMar>
              <w:top w:w="80" w:type="dxa"/>
              <w:left w:w="95" w:type="dxa"/>
              <w:bottom w:w="80" w:type="dxa"/>
              <w:right w:w="95" w:type="dxa"/>
            </w:tcMar>
          </w:tcPr>
          <w:p w14:paraId="01FB9191" w14:textId="77777777" w:rsidR="00275325" w:rsidRDefault="005C749E">
            <w:r>
              <w:rPr>
                <w:i/>
                <w:color w:val="5A5A5A"/>
              </w:rPr>
              <w:t>Compactly contrasts the favored causal direction with a serious rival.</w:t>
            </w:r>
          </w:p>
        </w:tc>
      </w:tr>
    </w:tbl>
    <w:p w14:paraId="08892F38" w14:textId="77777777" w:rsidR="00275325" w:rsidRDefault="005C749E">
      <w:r>
        <w:br w:type="page"/>
      </w:r>
    </w:p>
    <w:p w14:paraId="11E5316B" w14:textId="77777777" w:rsidR="00275325" w:rsidRDefault="005C749E">
      <w:pPr>
        <w:pStyle w:val="Heading1"/>
      </w:pPr>
      <w:r>
        <w:lastRenderedPageBreak/>
        <w:t>Learning Target 7: Seeing what could defeat the claim</w:t>
      </w:r>
    </w:p>
    <w:p w14:paraId="20A58095" w14:textId="77777777" w:rsidR="00275325" w:rsidRDefault="005C749E">
      <w:pPr>
        <w:pStyle w:val="Reflex"/>
      </w:pPr>
      <w:r>
        <w:rPr>
          <w:b/>
          <w:i w:val="0"/>
          <w:color w:val="1F4E79"/>
        </w:rPr>
        <w:t xml:space="preserve">Student reflex: </w:t>
      </w:r>
      <w:r>
        <w:t>What case or result would count against this?</w:t>
      </w:r>
    </w:p>
    <w:p w14:paraId="08429C24" w14:textId="77777777" w:rsidR="00275325" w:rsidRDefault="005C749E">
      <w:pPr>
        <w:pStyle w:val="Heading2"/>
      </w:pPr>
      <w:r>
        <w:t>Three Cases</w:t>
      </w:r>
    </w:p>
    <w:tbl>
      <w:tblPr>
        <w:tblStyle w:val="TableGrid"/>
        <w:tblW w:w="0" w:type="auto"/>
        <w:jc w:val="center"/>
        <w:tblLayout w:type="fixed"/>
        <w:tblLook w:val="04A0" w:firstRow="1" w:lastRow="0" w:firstColumn="1" w:lastColumn="0" w:noHBand="0" w:noVBand="1"/>
      </w:tblPr>
      <w:tblGrid>
        <w:gridCol w:w="2376"/>
        <w:gridCol w:w="8568"/>
      </w:tblGrid>
      <w:tr w:rsidR="00275325" w14:paraId="09D9D144" w14:textId="77777777">
        <w:trPr>
          <w:tblHeader/>
          <w:jc w:val="center"/>
        </w:trPr>
        <w:tc>
          <w:tcPr>
            <w:tcW w:w="2376" w:type="dxa"/>
            <w:shd w:val="clear" w:color="auto" w:fill="1F4E79"/>
            <w:tcMar>
              <w:top w:w="90" w:type="dxa"/>
              <w:left w:w="100" w:type="dxa"/>
              <w:bottom w:w="90" w:type="dxa"/>
              <w:right w:w="100" w:type="dxa"/>
            </w:tcMar>
          </w:tcPr>
          <w:p w14:paraId="7E6CB38B" w14:textId="77777777" w:rsidR="00275325" w:rsidRDefault="005C749E">
            <w:r>
              <w:rPr>
                <w:b/>
                <w:color w:val="FFFFFF"/>
                <w:sz w:val="20"/>
              </w:rPr>
              <w:t>Case</w:t>
            </w:r>
          </w:p>
        </w:tc>
        <w:tc>
          <w:tcPr>
            <w:tcW w:w="8568" w:type="dxa"/>
            <w:shd w:val="clear" w:color="auto" w:fill="1F4E79"/>
            <w:tcMar>
              <w:top w:w="90" w:type="dxa"/>
              <w:left w:w="100" w:type="dxa"/>
              <w:bottom w:w="90" w:type="dxa"/>
              <w:right w:w="100" w:type="dxa"/>
            </w:tcMar>
          </w:tcPr>
          <w:p w14:paraId="2B30CA9E" w14:textId="77777777" w:rsidR="00275325" w:rsidRDefault="005C749E">
            <w:r>
              <w:rPr>
                <w:b/>
                <w:color w:val="FFFFFF"/>
                <w:sz w:val="20"/>
              </w:rPr>
              <w:t>Prompt and instructor note</w:t>
            </w:r>
          </w:p>
        </w:tc>
      </w:tr>
      <w:tr w:rsidR="00275325" w14:paraId="0D260E6C" w14:textId="77777777">
        <w:trPr>
          <w:cantSplit/>
          <w:jc w:val="center"/>
        </w:trPr>
        <w:tc>
          <w:tcPr>
            <w:tcW w:w="2376" w:type="dxa"/>
            <w:shd w:val="clear" w:color="auto" w:fill="D9EAF7"/>
            <w:tcMar>
              <w:top w:w="90" w:type="dxa"/>
              <w:left w:w="110" w:type="dxa"/>
              <w:bottom w:w="90" w:type="dxa"/>
              <w:right w:w="110" w:type="dxa"/>
            </w:tcMar>
          </w:tcPr>
          <w:p w14:paraId="043DC438" w14:textId="77777777" w:rsidR="00275325" w:rsidRDefault="005C749E">
            <w:pPr>
              <w:spacing w:after="0"/>
            </w:pPr>
            <w:r>
              <w:rPr>
                <w:b/>
                <w:color w:val="1F4E79"/>
              </w:rPr>
              <w:t>Clearly unsettled</w:t>
            </w:r>
          </w:p>
        </w:tc>
        <w:tc>
          <w:tcPr>
            <w:tcW w:w="8568" w:type="dxa"/>
            <w:shd w:val="clear" w:color="auto" w:fill="D9EAF7"/>
            <w:tcMar>
              <w:top w:w="90" w:type="dxa"/>
              <w:left w:w="110" w:type="dxa"/>
              <w:bottom w:w="90" w:type="dxa"/>
              <w:right w:w="110" w:type="dxa"/>
            </w:tcMar>
          </w:tcPr>
          <w:p w14:paraId="509D59C1" w14:textId="77777777" w:rsidR="00275325" w:rsidRDefault="005C749E">
            <w:r>
              <w:t>A manager says, "I have excellent instincts about whom to hire. When my hires succeed, that proves I spotted talent. When one fails, that proves the person was unusually good at hiding their weaknesses during the interview."</w:t>
            </w:r>
          </w:p>
          <w:p w14:paraId="3F8930E8" w14:textId="77777777" w:rsidR="00275325" w:rsidRDefault="005C749E">
            <w:pPr>
              <w:spacing w:after="40"/>
            </w:pPr>
            <w:r>
              <w:rPr>
                <w:b/>
                <w:color w:val="1F4E79"/>
              </w:rPr>
              <w:t xml:space="preserve">Instructor note: </w:t>
            </w:r>
            <w:r>
              <w:rPr>
                <w:i/>
              </w:rPr>
              <w:t>Success and failure are both absorbed as confirmation. The claim has no stable loss condition unless the manager can state a hiring result or pattern that would actually lower confidence in the supposed instinct.</w:t>
            </w:r>
          </w:p>
        </w:tc>
      </w:tr>
      <w:tr w:rsidR="00275325" w14:paraId="01F7AC7D" w14:textId="77777777">
        <w:trPr>
          <w:cantSplit/>
          <w:jc w:val="center"/>
        </w:trPr>
        <w:tc>
          <w:tcPr>
            <w:tcW w:w="2376" w:type="dxa"/>
            <w:shd w:val="clear" w:color="auto" w:fill="FFFFFF"/>
            <w:tcMar>
              <w:top w:w="90" w:type="dxa"/>
              <w:left w:w="110" w:type="dxa"/>
              <w:bottom w:w="90" w:type="dxa"/>
              <w:right w:w="110" w:type="dxa"/>
            </w:tcMar>
          </w:tcPr>
          <w:p w14:paraId="08040C6C" w14:textId="77777777" w:rsidR="00275325" w:rsidRDefault="005C749E">
            <w:pPr>
              <w:spacing w:after="0"/>
            </w:pPr>
            <w:r>
              <w:rPr>
                <w:b/>
                <w:color w:val="1F4E79"/>
              </w:rPr>
              <w:t>Practically sufficient</w:t>
            </w:r>
          </w:p>
        </w:tc>
        <w:tc>
          <w:tcPr>
            <w:tcW w:w="8568" w:type="dxa"/>
            <w:shd w:val="clear" w:color="auto" w:fill="FFFFFF"/>
            <w:tcMar>
              <w:top w:w="90" w:type="dxa"/>
              <w:left w:w="110" w:type="dxa"/>
              <w:bottom w:w="90" w:type="dxa"/>
              <w:right w:w="110" w:type="dxa"/>
            </w:tcMar>
          </w:tcPr>
          <w:p w14:paraId="1E5D2DC7" w14:textId="77777777" w:rsidR="00275325" w:rsidRDefault="005C749E">
            <w:r>
              <w:t>Before testing a new demand-forecast model, the analysts state that they will abandon it if its out-of-sample error is not at least 15 percent lower than the current model across the next four quarters. They preserve that criterion and compare the models after four quarters.</w:t>
            </w:r>
          </w:p>
          <w:p w14:paraId="77B1FB03" w14:textId="77777777" w:rsidR="00275325" w:rsidRDefault="005C749E">
            <w:pPr>
              <w:spacing w:after="40"/>
            </w:pPr>
            <w:r>
              <w:rPr>
                <w:b/>
                <w:color w:val="1F4E79"/>
              </w:rPr>
              <w:t xml:space="preserve">Instructor note: </w:t>
            </w:r>
            <w:r>
              <w:rPr>
                <w:i/>
              </w:rPr>
              <w:t>The model has a clear, advance loss condition and the analysts commit to letting the result change their confidence.</w:t>
            </w:r>
          </w:p>
        </w:tc>
      </w:tr>
      <w:tr w:rsidR="00275325" w14:paraId="60DD2D9C" w14:textId="77777777">
        <w:trPr>
          <w:cantSplit/>
          <w:jc w:val="center"/>
        </w:trPr>
        <w:tc>
          <w:tcPr>
            <w:tcW w:w="2376" w:type="dxa"/>
            <w:shd w:val="clear" w:color="auto" w:fill="EEF5FA"/>
            <w:tcMar>
              <w:top w:w="90" w:type="dxa"/>
              <w:left w:w="110" w:type="dxa"/>
              <w:bottom w:w="90" w:type="dxa"/>
              <w:right w:w="110" w:type="dxa"/>
            </w:tcMar>
          </w:tcPr>
          <w:p w14:paraId="15A0D768" w14:textId="77777777" w:rsidR="00275325" w:rsidRDefault="005C749E">
            <w:pPr>
              <w:spacing w:after="0"/>
            </w:pPr>
            <w:r>
              <w:rPr>
                <w:b/>
                <w:color w:val="1F4E79"/>
              </w:rPr>
              <w:t>Borderline / tempting to nitpick</w:t>
            </w:r>
          </w:p>
        </w:tc>
        <w:tc>
          <w:tcPr>
            <w:tcW w:w="8568" w:type="dxa"/>
            <w:shd w:val="clear" w:color="auto" w:fill="EEF5FA"/>
            <w:tcMar>
              <w:top w:w="90" w:type="dxa"/>
              <w:left w:w="110" w:type="dxa"/>
              <w:bottom w:w="90" w:type="dxa"/>
              <w:right w:w="110" w:type="dxa"/>
            </w:tcMar>
          </w:tcPr>
          <w:p w14:paraId="567479C3" w14:textId="77777777" w:rsidR="00275325" w:rsidRDefault="005C749E">
            <w:r>
              <w:t>A basketball analyst says a player is an approximately 80-percent free-throw shooter over the season. The player then misses one free throw. A student argues that the miss defeats the claim.</w:t>
            </w:r>
          </w:p>
          <w:p w14:paraId="4D701B89" w14:textId="77777777" w:rsidR="00275325" w:rsidRDefault="005C749E">
            <w:pPr>
              <w:spacing w:after="40"/>
            </w:pPr>
            <w:r>
              <w:rPr>
                <w:b/>
                <w:color w:val="1F4E79"/>
              </w:rPr>
              <w:t xml:space="preserve">Instructor note: </w:t>
            </w:r>
            <w:r>
              <w:rPr>
                <w:i/>
              </w:rPr>
              <w:t>An 80-percent tendency predicts ordinary misses. One failure is not a counterexample to a probabilistic claim; a sufficiently large pattern of misses would be the relevant kind of defeating evidence.</w:t>
            </w:r>
          </w:p>
        </w:tc>
      </w:tr>
    </w:tbl>
    <w:p w14:paraId="202BA785" w14:textId="77777777" w:rsidR="00275325" w:rsidRDefault="00275325">
      <w:pPr>
        <w:spacing w:after="20"/>
      </w:pPr>
    </w:p>
    <w:p w14:paraId="45C657BB" w14:textId="77777777" w:rsidR="00275325" w:rsidRDefault="005C749E">
      <w:pPr>
        <w:pStyle w:val="Heading2"/>
      </w:pPr>
      <w:r>
        <w:t>Sample Student Responses to the Clearly Unsettled Case</w:t>
      </w:r>
    </w:p>
    <w:tbl>
      <w:tblPr>
        <w:tblStyle w:val="TableGrid"/>
        <w:tblW w:w="0" w:type="auto"/>
        <w:jc w:val="center"/>
        <w:tblLayout w:type="fixed"/>
        <w:tblLook w:val="04A0" w:firstRow="1" w:lastRow="0" w:firstColumn="1" w:lastColumn="0" w:noHBand="0" w:noVBand="1"/>
      </w:tblPr>
      <w:tblGrid>
        <w:gridCol w:w="2088"/>
        <w:gridCol w:w="6120"/>
        <w:gridCol w:w="2736"/>
      </w:tblGrid>
      <w:tr w:rsidR="00275325" w14:paraId="2EB9814E" w14:textId="77777777">
        <w:trPr>
          <w:tblHeader/>
          <w:jc w:val="center"/>
        </w:trPr>
        <w:tc>
          <w:tcPr>
            <w:tcW w:w="2088" w:type="dxa"/>
            <w:shd w:val="clear" w:color="auto" w:fill="1F4E79"/>
            <w:tcMar>
              <w:top w:w="90" w:type="dxa"/>
              <w:left w:w="100" w:type="dxa"/>
              <w:bottom w:w="90" w:type="dxa"/>
              <w:right w:w="100" w:type="dxa"/>
            </w:tcMar>
          </w:tcPr>
          <w:p w14:paraId="65208689" w14:textId="77777777" w:rsidR="00275325" w:rsidRDefault="005C749E">
            <w:r>
              <w:rPr>
                <w:b/>
                <w:color w:val="FFFFFF"/>
                <w:sz w:val="20"/>
              </w:rPr>
              <w:t>Response type</w:t>
            </w:r>
          </w:p>
        </w:tc>
        <w:tc>
          <w:tcPr>
            <w:tcW w:w="6120" w:type="dxa"/>
            <w:shd w:val="clear" w:color="auto" w:fill="1F4E79"/>
            <w:tcMar>
              <w:top w:w="90" w:type="dxa"/>
              <w:left w:w="100" w:type="dxa"/>
              <w:bottom w:w="90" w:type="dxa"/>
              <w:right w:w="100" w:type="dxa"/>
            </w:tcMar>
          </w:tcPr>
          <w:p w14:paraId="2BD61B4D" w14:textId="77777777" w:rsidR="00275325" w:rsidRDefault="005C749E">
            <w:r>
              <w:rPr>
                <w:b/>
                <w:color w:val="FFFFFF"/>
                <w:sz w:val="20"/>
              </w:rPr>
              <w:t>Sample student response</w:t>
            </w:r>
          </w:p>
        </w:tc>
        <w:tc>
          <w:tcPr>
            <w:tcW w:w="2736" w:type="dxa"/>
            <w:shd w:val="clear" w:color="auto" w:fill="1F4E79"/>
            <w:tcMar>
              <w:top w:w="90" w:type="dxa"/>
              <w:left w:w="100" w:type="dxa"/>
              <w:bottom w:w="90" w:type="dxa"/>
              <w:right w:w="100" w:type="dxa"/>
            </w:tcMar>
          </w:tcPr>
          <w:p w14:paraId="4FE2112B" w14:textId="77777777" w:rsidR="00275325" w:rsidRDefault="005C749E">
            <w:r>
              <w:rPr>
                <w:b/>
                <w:color w:val="FFFFFF"/>
                <w:sz w:val="20"/>
              </w:rPr>
              <w:t>Evaluation</w:t>
            </w:r>
          </w:p>
        </w:tc>
      </w:tr>
      <w:tr w:rsidR="00275325" w14:paraId="4D1A66BA" w14:textId="77777777">
        <w:trPr>
          <w:cantSplit/>
          <w:jc w:val="center"/>
        </w:trPr>
        <w:tc>
          <w:tcPr>
            <w:tcW w:w="2088" w:type="dxa"/>
            <w:shd w:val="clear" w:color="auto" w:fill="FFFFFF"/>
            <w:tcMar>
              <w:top w:w="80" w:type="dxa"/>
              <w:left w:w="95" w:type="dxa"/>
              <w:bottom w:w="80" w:type="dxa"/>
              <w:right w:w="95" w:type="dxa"/>
            </w:tcMar>
          </w:tcPr>
          <w:p w14:paraId="1DA24948" w14:textId="77777777" w:rsidR="00275325" w:rsidRDefault="005C749E">
            <w:r>
              <w:rPr>
                <w:b/>
                <w:color w:val="1F4E79"/>
              </w:rPr>
              <w:t>Strong</w:t>
            </w:r>
          </w:p>
        </w:tc>
        <w:tc>
          <w:tcPr>
            <w:tcW w:w="6120" w:type="dxa"/>
            <w:shd w:val="clear" w:color="auto" w:fill="FFFFFF"/>
            <w:tcMar>
              <w:top w:w="80" w:type="dxa"/>
              <w:left w:w="95" w:type="dxa"/>
              <w:bottom w:w="80" w:type="dxa"/>
              <w:right w:w="95" w:type="dxa"/>
            </w:tcMar>
          </w:tcPr>
          <w:p w14:paraId="75E20E9E" w14:textId="77777777" w:rsidR="00275325" w:rsidRDefault="005C749E">
            <w:r>
              <w:t>What hiring result or longer-term pattern would make you conclude that your interview instincts are not actually excellent?</w:t>
            </w:r>
          </w:p>
        </w:tc>
        <w:tc>
          <w:tcPr>
            <w:tcW w:w="2736" w:type="dxa"/>
            <w:shd w:val="clear" w:color="auto" w:fill="FFFFFF"/>
            <w:tcMar>
              <w:top w:w="80" w:type="dxa"/>
              <w:left w:w="95" w:type="dxa"/>
              <w:bottom w:w="80" w:type="dxa"/>
              <w:right w:w="95" w:type="dxa"/>
            </w:tcMar>
          </w:tcPr>
          <w:p w14:paraId="7C57BDD4" w14:textId="77777777" w:rsidR="00275325" w:rsidRDefault="005C749E">
            <w:r>
              <w:rPr>
                <w:i/>
                <w:color w:val="5A5A5A"/>
              </w:rPr>
              <w:t>Asks for a stable loss condition tied to the specific claim.</w:t>
            </w:r>
          </w:p>
        </w:tc>
      </w:tr>
      <w:tr w:rsidR="00275325" w14:paraId="44B901B8" w14:textId="77777777">
        <w:trPr>
          <w:cantSplit/>
          <w:jc w:val="center"/>
        </w:trPr>
        <w:tc>
          <w:tcPr>
            <w:tcW w:w="2088" w:type="dxa"/>
            <w:shd w:val="clear" w:color="auto" w:fill="F2F2F2"/>
            <w:tcMar>
              <w:top w:w="80" w:type="dxa"/>
              <w:left w:w="95" w:type="dxa"/>
              <w:bottom w:w="80" w:type="dxa"/>
              <w:right w:w="95" w:type="dxa"/>
            </w:tcMar>
          </w:tcPr>
          <w:p w14:paraId="08E3B907" w14:textId="77777777" w:rsidR="00275325" w:rsidRDefault="005C749E">
            <w:r>
              <w:rPr>
                <w:b/>
                <w:color w:val="1F4E79"/>
              </w:rPr>
              <w:t>Broad but incomplete</w:t>
            </w:r>
          </w:p>
        </w:tc>
        <w:tc>
          <w:tcPr>
            <w:tcW w:w="6120" w:type="dxa"/>
            <w:shd w:val="clear" w:color="auto" w:fill="F2F2F2"/>
            <w:tcMar>
              <w:top w:w="80" w:type="dxa"/>
              <w:left w:w="95" w:type="dxa"/>
              <w:bottom w:w="80" w:type="dxa"/>
              <w:right w:w="95" w:type="dxa"/>
            </w:tcMar>
          </w:tcPr>
          <w:p w14:paraId="233DF1A6" w14:textId="77777777" w:rsidR="00275325" w:rsidRDefault="005C749E">
            <w:r>
              <w:t>Are you sure your instincts are good?</w:t>
            </w:r>
          </w:p>
        </w:tc>
        <w:tc>
          <w:tcPr>
            <w:tcW w:w="2736" w:type="dxa"/>
            <w:shd w:val="clear" w:color="auto" w:fill="F2F2F2"/>
            <w:tcMar>
              <w:top w:w="80" w:type="dxa"/>
              <w:left w:w="95" w:type="dxa"/>
              <w:bottom w:w="80" w:type="dxa"/>
              <w:right w:w="95" w:type="dxa"/>
            </w:tcMar>
          </w:tcPr>
          <w:p w14:paraId="1A6C384F" w14:textId="77777777" w:rsidR="00275325" w:rsidRDefault="005C749E">
            <w:r>
              <w:rPr>
                <w:i/>
                <w:color w:val="5A5A5A"/>
              </w:rPr>
              <w:t>Challenges confidence without identifying what evidence could defeat it.</w:t>
            </w:r>
          </w:p>
        </w:tc>
      </w:tr>
      <w:tr w:rsidR="00275325" w14:paraId="18E73EC9" w14:textId="77777777">
        <w:trPr>
          <w:cantSplit/>
          <w:jc w:val="center"/>
        </w:trPr>
        <w:tc>
          <w:tcPr>
            <w:tcW w:w="2088" w:type="dxa"/>
            <w:shd w:val="clear" w:color="auto" w:fill="FFFFFF"/>
            <w:tcMar>
              <w:top w:w="80" w:type="dxa"/>
              <w:left w:w="95" w:type="dxa"/>
              <w:bottom w:w="80" w:type="dxa"/>
              <w:right w:w="95" w:type="dxa"/>
            </w:tcMar>
          </w:tcPr>
          <w:p w14:paraId="0883D394" w14:textId="77777777" w:rsidR="00275325" w:rsidRDefault="005C749E">
            <w:r>
              <w:rPr>
                <w:b/>
                <w:color w:val="1F4E79"/>
              </w:rPr>
              <w:t>Nitpicky</w:t>
            </w:r>
          </w:p>
        </w:tc>
        <w:tc>
          <w:tcPr>
            <w:tcW w:w="6120" w:type="dxa"/>
            <w:shd w:val="clear" w:color="auto" w:fill="FFFFFF"/>
            <w:tcMar>
              <w:top w:w="80" w:type="dxa"/>
              <w:left w:w="95" w:type="dxa"/>
              <w:bottom w:w="80" w:type="dxa"/>
              <w:right w:w="95" w:type="dxa"/>
            </w:tcMar>
          </w:tcPr>
          <w:p w14:paraId="44587F2D" w14:textId="77777777" w:rsidR="00275325" w:rsidRDefault="005C749E">
            <w:r>
              <w:t>What if one otherwise successful hire showed up five minutes late once?</w:t>
            </w:r>
          </w:p>
        </w:tc>
        <w:tc>
          <w:tcPr>
            <w:tcW w:w="2736" w:type="dxa"/>
            <w:shd w:val="clear" w:color="auto" w:fill="FFFFFF"/>
            <w:tcMar>
              <w:top w:w="80" w:type="dxa"/>
              <w:left w:w="95" w:type="dxa"/>
              <w:bottom w:w="80" w:type="dxa"/>
              <w:right w:w="95" w:type="dxa"/>
            </w:tcMar>
          </w:tcPr>
          <w:p w14:paraId="1213B3D9" w14:textId="77777777" w:rsidR="00275325" w:rsidRDefault="005C749E">
            <w:r>
              <w:rPr>
                <w:i/>
                <w:color w:val="5A5A5A"/>
              </w:rPr>
              <w:t>This event is not a plausible test of the claimed hiring instinct.</w:t>
            </w:r>
          </w:p>
        </w:tc>
      </w:tr>
      <w:tr w:rsidR="00275325" w14:paraId="4A97A35A" w14:textId="77777777">
        <w:trPr>
          <w:cantSplit/>
          <w:jc w:val="center"/>
        </w:trPr>
        <w:tc>
          <w:tcPr>
            <w:tcW w:w="2088" w:type="dxa"/>
            <w:shd w:val="clear" w:color="auto" w:fill="F2F2F2"/>
            <w:tcMar>
              <w:top w:w="80" w:type="dxa"/>
              <w:left w:w="95" w:type="dxa"/>
              <w:bottom w:w="80" w:type="dxa"/>
              <w:right w:w="95" w:type="dxa"/>
            </w:tcMar>
          </w:tcPr>
          <w:p w14:paraId="7A606C46" w14:textId="77777777" w:rsidR="00275325" w:rsidRDefault="005C749E">
            <w:r>
              <w:rPr>
                <w:b/>
                <w:color w:val="1F4E79"/>
              </w:rPr>
              <w:t>Differently worded but acceptable</w:t>
            </w:r>
          </w:p>
        </w:tc>
        <w:tc>
          <w:tcPr>
            <w:tcW w:w="6120" w:type="dxa"/>
            <w:shd w:val="clear" w:color="auto" w:fill="F2F2F2"/>
            <w:tcMar>
              <w:top w:w="80" w:type="dxa"/>
              <w:left w:w="95" w:type="dxa"/>
              <w:bottom w:w="80" w:type="dxa"/>
              <w:right w:w="95" w:type="dxa"/>
            </w:tcMar>
          </w:tcPr>
          <w:p w14:paraId="6026AFAA" w14:textId="77777777" w:rsidR="00275325" w:rsidRDefault="005C749E">
            <w:r>
              <w:t>Is there any pattern of bad hires that you would count as evidence against your ability, or can every failure be explained away?</w:t>
            </w:r>
          </w:p>
        </w:tc>
        <w:tc>
          <w:tcPr>
            <w:tcW w:w="2736" w:type="dxa"/>
            <w:shd w:val="clear" w:color="auto" w:fill="F2F2F2"/>
            <w:tcMar>
              <w:top w:w="80" w:type="dxa"/>
              <w:left w:w="95" w:type="dxa"/>
              <w:bottom w:w="80" w:type="dxa"/>
              <w:right w:w="95" w:type="dxa"/>
            </w:tcMar>
          </w:tcPr>
          <w:p w14:paraId="472DFEE0" w14:textId="77777777" w:rsidR="00275325" w:rsidRDefault="005C749E">
            <w:r>
              <w:rPr>
                <w:i/>
                <w:color w:val="5A5A5A"/>
              </w:rPr>
              <w:t>Different wording, but directly tests whether contrary evidence is permitted to matter.</w:t>
            </w:r>
          </w:p>
        </w:tc>
      </w:tr>
    </w:tbl>
    <w:p w14:paraId="36629494" w14:textId="77777777" w:rsidR="00275325" w:rsidRDefault="005C749E">
      <w:r>
        <w:br w:type="page"/>
      </w:r>
    </w:p>
    <w:p w14:paraId="7EEAC648" w14:textId="77777777" w:rsidR="00275325" w:rsidRDefault="005C749E">
      <w:pPr>
        <w:pStyle w:val="Heading1"/>
      </w:pPr>
      <w:r>
        <w:lastRenderedPageBreak/>
        <w:t>Learning Target 8: Seeing when the conclusion goes too far</w:t>
      </w:r>
    </w:p>
    <w:p w14:paraId="0FC5B42A" w14:textId="77777777" w:rsidR="00275325" w:rsidRDefault="005C749E">
      <w:pPr>
        <w:pStyle w:val="Reflex"/>
      </w:pPr>
      <w:r>
        <w:rPr>
          <w:b/>
          <w:i w:val="0"/>
          <w:color w:val="1F4E79"/>
        </w:rPr>
        <w:t xml:space="preserve">Student reflex: </w:t>
      </w:r>
      <w:r>
        <w:t>What does the evidence actually establish?</w:t>
      </w:r>
    </w:p>
    <w:p w14:paraId="2E9D7A6A" w14:textId="77777777" w:rsidR="00275325" w:rsidRDefault="005C749E">
      <w:pPr>
        <w:pStyle w:val="Heading2"/>
      </w:pPr>
      <w:r>
        <w:t>Three Cases</w:t>
      </w:r>
    </w:p>
    <w:tbl>
      <w:tblPr>
        <w:tblStyle w:val="TableGrid"/>
        <w:tblW w:w="0" w:type="auto"/>
        <w:jc w:val="center"/>
        <w:tblLayout w:type="fixed"/>
        <w:tblLook w:val="04A0" w:firstRow="1" w:lastRow="0" w:firstColumn="1" w:lastColumn="0" w:noHBand="0" w:noVBand="1"/>
      </w:tblPr>
      <w:tblGrid>
        <w:gridCol w:w="2376"/>
        <w:gridCol w:w="8568"/>
      </w:tblGrid>
      <w:tr w:rsidR="00275325" w14:paraId="778A0958" w14:textId="77777777">
        <w:trPr>
          <w:tblHeader/>
          <w:jc w:val="center"/>
        </w:trPr>
        <w:tc>
          <w:tcPr>
            <w:tcW w:w="2376" w:type="dxa"/>
            <w:shd w:val="clear" w:color="auto" w:fill="1F4E79"/>
            <w:tcMar>
              <w:top w:w="90" w:type="dxa"/>
              <w:left w:w="100" w:type="dxa"/>
              <w:bottom w:w="90" w:type="dxa"/>
              <w:right w:w="100" w:type="dxa"/>
            </w:tcMar>
          </w:tcPr>
          <w:p w14:paraId="6A6DEF19" w14:textId="77777777" w:rsidR="00275325" w:rsidRDefault="005C749E">
            <w:r>
              <w:rPr>
                <w:b/>
                <w:color w:val="FFFFFF"/>
                <w:sz w:val="20"/>
              </w:rPr>
              <w:t>Case</w:t>
            </w:r>
          </w:p>
        </w:tc>
        <w:tc>
          <w:tcPr>
            <w:tcW w:w="8568" w:type="dxa"/>
            <w:shd w:val="clear" w:color="auto" w:fill="1F4E79"/>
            <w:tcMar>
              <w:top w:w="90" w:type="dxa"/>
              <w:left w:w="100" w:type="dxa"/>
              <w:bottom w:w="90" w:type="dxa"/>
              <w:right w:w="100" w:type="dxa"/>
            </w:tcMar>
          </w:tcPr>
          <w:p w14:paraId="167A93F0" w14:textId="77777777" w:rsidR="00275325" w:rsidRDefault="005C749E">
            <w:r>
              <w:rPr>
                <w:b/>
                <w:color w:val="FFFFFF"/>
                <w:sz w:val="20"/>
              </w:rPr>
              <w:t>Prompt and instructor note</w:t>
            </w:r>
          </w:p>
        </w:tc>
      </w:tr>
      <w:tr w:rsidR="00275325" w14:paraId="4DF1286B" w14:textId="77777777">
        <w:trPr>
          <w:cantSplit/>
          <w:jc w:val="center"/>
        </w:trPr>
        <w:tc>
          <w:tcPr>
            <w:tcW w:w="2376" w:type="dxa"/>
            <w:shd w:val="clear" w:color="auto" w:fill="D9EAF7"/>
            <w:tcMar>
              <w:top w:w="90" w:type="dxa"/>
              <w:left w:w="110" w:type="dxa"/>
              <w:bottom w:w="90" w:type="dxa"/>
              <w:right w:w="110" w:type="dxa"/>
            </w:tcMar>
          </w:tcPr>
          <w:p w14:paraId="059566CA" w14:textId="77777777" w:rsidR="00275325" w:rsidRDefault="005C749E">
            <w:pPr>
              <w:spacing w:after="0"/>
            </w:pPr>
            <w:r>
              <w:rPr>
                <w:b/>
                <w:color w:val="1F4E79"/>
              </w:rPr>
              <w:t>Clearly unsettled</w:t>
            </w:r>
          </w:p>
        </w:tc>
        <w:tc>
          <w:tcPr>
            <w:tcW w:w="8568" w:type="dxa"/>
            <w:shd w:val="clear" w:color="auto" w:fill="D9EAF7"/>
            <w:tcMar>
              <w:top w:w="90" w:type="dxa"/>
              <w:left w:w="110" w:type="dxa"/>
              <w:bottom w:w="90" w:type="dxa"/>
              <w:right w:w="110" w:type="dxa"/>
            </w:tcMar>
          </w:tcPr>
          <w:p w14:paraId="4F950390" w14:textId="77777777" w:rsidR="00275325" w:rsidRDefault="005C749E">
            <w:r>
              <w:t>In a randomized study of 300 college students, a 10-minute walk produced a small immediate reduction in self-reported stress compared with sitting quietly. The researchers conclude that regular walking improves mental health in adults.</w:t>
            </w:r>
          </w:p>
          <w:p w14:paraId="22B67D49" w14:textId="77777777" w:rsidR="00275325" w:rsidRDefault="005C749E">
            <w:pPr>
              <w:spacing w:after="40"/>
            </w:pPr>
            <w:r>
              <w:rPr>
                <w:b/>
                <w:color w:val="1F4E79"/>
              </w:rPr>
              <w:t xml:space="preserve">Instructor note: </w:t>
            </w:r>
            <w:r>
              <w:rPr>
                <w:i/>
              </w:rPr>
              <w:t>The design supports a causal claim about a short-term self-reported stress outcome in the studied population, but the conclusion raises the construct, time, population, and generality dials beyond what the evidence directly establishes.</w:t>
            </w:r>
          </w:p>
        </w:tc>
      </w:tr>
      <w:tr w:rsidR="00275325" w14:paraId="3FAE6CEF" w14:textId="77777777">
        <w:trPr>
          <w:cantSplit/>
          <w:jc w:val="center"/>
        </w:trPr>
        <w:tc>
          <w:tcPr>
            <w:tcW w:w="2376" w:type="dxa"/>
            <w:shd w:val="clear" w:color="auto" w:fill="FFFFFF"/>
            <w:tcMar>
              <w:top w:w="90" w:type="dxa"/>
              <w:left w:w="110" w:type="dxa"/>
              <w:bottom w:w="90" w:type="dxa"/>
              <w:right w:w="110" w:type="dxa"/>
            </w:tcMar>
          </w:tcPr>
          <w:p w14:paraId="37A874FA" w14:textId="77777777" w:rsidR="00275325" w:rsidRDefault="005C749E">
            <w:pPr>
              <w:spacing w:after="0"/>
            </w:pPr>
            <w:r>
              <w:rPr>
                <w:b/>
                <w:color w:val="1F4E79"/>
              </w:rPr>
              <w:t>Practically sufficient</w:t>
            </w:r>
          </w:p>
        </w:tc>
        <w:tc>
          <w:tcPr>
            <w:tcW w:w="8568" w:type="dxa"/>
            <w:shd w:val="clear" w:color="auto" w:fill="FFFFFF"/>
            <w:tcMar>
              <w:top w:w="90" w:type="dxa"/>
              <w:left w:w="110" w:type="dxa"/>
              <w:bottom w:w="90" w:type="dxa"/>
              <w:right w:w="110" w:type="dxa"/>
            </w:tcMar>
          </w:tcPr>
          <w:p w14:paraId="549C6812" w14:textId="77777777" w:rsidR="00275325" w:rsidRDefault="005C749E">
            <w:r>
              <w:t>Across a preregistered multi-site randomized trial, adults similar to the enrolled participants who took a 10-minute walk showed a modest average reduction in immediate self-reported stress compared with those who sat quietly. The authors conclude that a short walk can modestly reduce immediate self-reported stress under the studied conditions.</w:t>
            </w:r>
          </w:p>
          <w:p w14:paraId="0F515ECC" w14:textId="77777777" w:rsidR="00275325" w:rsidRDefault="005C749E">
            <w:pPr>
              <w:spacing w:after="40"/>
            </w:pPr>
            <w:r>
              <w:rPr>
                <w:b/>
                <w:color w:val="1F4E79"/>
              </w:rPr>
              <w:t xml:space="preserve">Instructor note: </w:t>
            </w:r>
            <w:r>
              <w:rPr>
                <w:i/>
              </w:rPr>
              <w:t>The conclusion matches the evidence on causal force, construct, scope, and certainty, while preserving important limitations.</w:t>
            </w:r>
          </w:p>
        </w:tc>
      </w:tr>
      <w:tr w:rsidR="00275325" w14:paraId="1012A2CE" w14:textId="77777777">
        <w:trPr>
          <w:cantSplit/>
          <w:jc w:val="center"/>
        </w:trPr>
        <w:tc>
          <w:tcPr>
            <w:tcW w:w="2376" w:type="dxa"/>
            <w:shd w:val="clear" w:color="auto" w:fill="EEF5FA"/>
            <w:tcMar>
              <w:top w:w="90" w:type="dxa"/>
              <w:left w:w="110" w:type="dxa"/>
              <w:bottom w:w="90" w:type="dxa"/>
              <w:right w:w="110" w:type="dxa"/>
            </w:tcMar>
          </w:tcPr>
          <w:p w14:paraId="2195E8D7" w14:textId="77777777" w:rsidR="00275325" w:rsidRDefault="005C749E">
            <w:pPr>
              <w:spacing w:after="0"/>
            </w:pPr>
            <w:r>
              <w:rPr>
                <w:b/>
                <w:color w:val="1F4E79"/>
              </w:rPr>
              <w:t>Borderline / tempting to nitpick</w:t>
            </w:r>
          </w:p>
        </w:tc>
        <w:tc>
          <w:tcPr>
            <w:tcW w:w="8568" w:type="dxa"/>
            <w:shd w:val="clear" w:color="auto" w:fill="EEF5FA"/>
            <w:tcMar>
              <w:top w:w="90" w:type="dxa"/>
              <w:left w:w="110" w:type="dxa"/>
              <w:bottom w:w="90" w:type="dxa"/>
              <w:right w:w="110" w:type="dxa"/>
            </w:tcMar>
          </w:tcPr>
          <w:p w14:paraId="0F1235AF" w14:textId="77777777" w:rsidR="00275325" w:rsidRDefault="005C749E">
            <w:r>
              <w:t>A probability survey of 2,000 registered voters finds 53 percent support for a ballot proposal, with a reported margin of error of plus or minus 2.2 percentage points. The report says, "The survey suggests a slim majority of registered voters supports the proposal."</w:t>
            </w:r>
          </w:p>
          <w:p w14:paraId="48A2292E" w14:textId="77777777" w:rsidR="00275325" w:rsidRDefault="005C749E">
            <w:pPr>
              <w:spacing w:after="40"/>
            </w:pPr>
            <w:r>
              <w:rPr>
                <w:b/>
                <w:color w:val="1F4E79"/>
              </w:rPr>
              <w:t xml:space="preserve">Instructor note: </w:t>
            </w:r>
            <w:r>
              <w:rPr>
                <w:i/>
              </w:rPr>
              <w:t>The wording "suggests" and "slim majority" is already calibrated to the evidence. Demanding certainty, subgroup unanimity, or a claim about all adults would respond to stronger claims that the report does not make.</w:t>
            </w:r>
          </w:p>
        </w:tc>
      </w:tr>
    </w:tbl>
    <w:p w14:paraId="35FC6B30" w14:textId="77777777" w:rsidR="00275325" w:rsidRDefault="00275325">
      <w:pPr>
        <w:spacing w:after="20"/>
      </w:pPr>
    </w:p>
    <w:p w14:paraId="2FA8ECAD" w14:textId="77777777" w:rsidR="00275325" w:rsidRDefault="005C749E">
      <w:pPr>
        <w:pStyle w:val="Heading2"/>
      </w:pPr>
      <w:r>
        <w:t>Sample Student Responses to the Clearly Unsettled Case</w:t>
      </w:r>
    </w:p>
    <w:tbl>
      <w:tblPr>
        <w:tblStyle w:val="TableGrid"/>
        <w:tblW w:w="0" w:type="auto"/>
        <w:jc w:val="center"/>
        <w:tblLayout w:type="fixed"/>
        <w:tblLook w:val="04A0" w:firstRow="1" w:lastRow="0" w:firstColumn="1" w:lastColumn="0" w:noHBand="0" w:noVBand="1"/>
      </w:tblPr>
      <w:tblGrid>
        <w:gridCol w:w="2088"/>
        <w:gridCol w:w="6120"/>
        <w:gridCol w:w="2736"/>
      </w:tblGrid>
      <w:tr w:rsidR="00275325" w14:paraId="67FBEF6A" w14:textId="77777777">
        <w:trPr>
          <w:tblHeader/>
          <w:jc w:val="center"/>
        </w:trPr>
        <w:tc>
          <w:tcPr>
            <w:tcW w:w="2088" w:type="dxa"/>
            <w:shd w:val="clear" w:color="auto" w:fill="1F4E79"/>
            <w:tcMar>
              <w:top w:w="90" w:type="dxa"/>
              <w:left w:w="100" w:type="dxa"/>
              <w:bottom w:w="90" w:type="dxa"/>
              <w:right w:w="100" w:type="dxa"/>
            </w:tcMar>
          </w:tcPr>
          <w:p w14:paraId="7E8C7353" w14:textId="77777777" w:rsidR="00275325" w:rsidRDefault="005C749E">
            <w:r>
              <w:rPr>
                <w:b/>
                <w:color w:val="FFFFFF"/>
                <w:sz w:val="20"/>
              </w:rPr>
              <w:t>Response type</w:t>
            </w:r>
          </w:p>
        </w:tc>
        <w:tc>
          <w:tcPr>
            <w:tcW w:w="6120" w:type="dxa"/>
            <w:shd w:val="clear" w:color="auto" w:fill="1F4E79"/>
            <w:tcMar>
              <w:top w:w="90" w:type="dxa"/>
              <w:left w:w="100" w:type="dxa"/>
              <w:bottom w:w="90" w:type="dxa"/>
              <w:right w:w="100" w:type="dxa"/>
            </w:tcMar>
          </w:tcPr>
          <w:p w14:paraId="6D31261E" w14:textId="77777777" w:rsidR="00275325" w:rsidRDefault="005C749E">
            <w:r>
              <w:rPr>
                <w:b/>
                <w:color w:val="FFFFFF"/>
                <w:sz w:val="20"/>
              </w:rPr>
              <w:t>Sample student response</w:t>
            </w:r>
          </w:p>
        </w:tc>
        <w:tc>
          <w:tcPr>
            <w:tcW w:w="2736" w:type="dxa"/>
            <w:shd w:val="clear" w:color="auto" w:fill="1F4E79"/>
            <w:tcMar>
              <w:top w:w="90" w:type="dxa"/>
              <w:left w:w="100" w:type="dxa"/>
              <w:bottom w:w="90" w:type="dxa"/>
              <w:right w:w="100" w:type="dxa"/>
            </w:tcMar>
          </w:tcPr>
          <w:p w14:paraId="11904D8E" w14:textId="77777777" w:rsidR="00275325" w:rsidRDefault="005C749E">
            <w:r>
              <w:rPr>
                <w:b/>
                <w:color w:val="FFFFFF"/>
                <w:sz w:val="20"/>
              </w:rPr>
              <w:t>Evaluation</w:t>
            </w:r>
          </w:p>
        </w:tc>
      </w:tr>
      <w:tr w:rsidR="00275325" w14:paraId="5344D6E2" w14:textId="77777777">
        <w:trPr>
          <w:cantSplit/>
          <w:jc w:val="center"/>
        </w:trPr>
        <w:tc>
          <w:tcPr>
            <w:tcW w:w="2088" w:type="dxa"/>
            <w:shd w:val="clear" w:color="auto" w:fill="FFFFFF"/>
            <w:tcMar>
              <w:top w:w="80" w:type="dxa"/>
              <w:left w:w="95" w:type="dxa"/>
              <w:bottom w:w="80" w:type="dxa"/>
              <w:right w:w="95" w:type="dxa"/>
            </w:tcMar>
          </w:tcPr>
          <w:p w14:paraId="471CA381" w14:textId="77777777" w:rsidR="00275325" w:rsidRDefault="005C749E">
            <w:r>
              <w:rPr>
                <w:b/>
                <w:color w:val="1F4E79"/>
              </w:rPr>
              <w:t>Strong</w:t>
            </w:r>
          </w:p>
        </w:tc>
        <w:tc>
          <w:tcPr>
            <w:tcW w:w="6120" w:type="dxa"/>
            <w:shd w:val="clear" w:color="auto" w:fill="FFFFFF"/>
            <w:tcMar>
              <w:top w:w="80" w:type="dxa"/>
              <w:left w:w="95" w:type="dxa"/>
              <w:bottom w:w="80" w:type="dxa"/>
              <w:right w:w="95" w:type="dxa"/>
            </w:tcMar>
          </w:tcPr>
          <w:p w14:paraId="30B95837" w14:textId="77777777" w:rsidR="00275325" w:rsidRDefault="005C749E">
            <w:r>
              <w:t>Does this study establish improved mental health in adults generally, or only a small immediate reduction in self-reported stress among the college students studied?</w:t>
            </w:r>
          </w:p>
        </w:tc>
        <w:tc>
          <w:tcPr>
            <w:tcW w:w="2736" w:type="dxa"/>
            <w:shd w:val="clear" w:color="auto" w:fill="FFFFFF"/>
            <w:tcMar>
              <w:top w:w="80" w:type="dxa"/>
              <w:left w:w="95" w:type="dxa"/>
              <w:bottom w:w="80" w:type="dxa"/>
              <w:right w:w="95" w:type="dxa"/>
            </w:tcMar>
          </w:tcPr>
          <w:p w14:paraId="517A1357" w14:textId="77777777" w:rsidR="00275325" w:rsidRDefault="005C749E">
            <w:r>
              <w:rPr>
                <w:i/>
                <w:color w:val="5A5A5A"/>
              </w:rPr>
              <w:t>Identifies the overreach in construct, population, and time scale and asks for calibration.</w:t>
            </w:r>
          </w:p>
        </w:tc>
      </w:tr>
      <w:tr w:rsidR="00275325" w14:paraId="4C7D1B05" w14:textId="77777777">
        <w:trPr>
          <w:cantSplit/>
          <w:jc w:val="center"/>
        </w:trPr>
        <w:tc>
          <w:tcPr>
            <w:tcW w:w="2088" w:type="dxa"/>
            <w:shd w:val="clear" w:color="auto" w:fill="F2F2F2"/>
            <w:tcMar>
              <w:top w:w="80" w:type="dxa"/>
              <w:left w:w="95" w:type="dxa"/>
              <w:bottom w:w="80" w:type="dxa"/>
              <w:right w:w="95" w:type="dxa"/>
            </w:tcMar>
          </w:tcPr>
          <w:p w14:paraId="12F4739F" w14:textId="77777777" w:rsidR="00275325" w:rsidRDefault="005C749E">
            <w:r>
              <w:rPr>
                <w:b/>
                <w:color w:val="1F4E79"/>
              </w:rPr>
              <w:t>Broad but incomplete</w:t>
            </w:r>
          </w:p>
        </w:tc>
        <w:tc>
          <w:tcPr>
            <w:tcW w:w="6120" w:type="dxa"/>
            <w:shd w:val="clear" w:color="auto" w:fill="F2F2F2"/>
            <w:tcMar>
              <w:top w:w="80" w:type="dxa"/>
              <w:left w:w="95" w:type="dxa"/>
              <w:bottom w:w="80" w:type="dxa"/>
              <w:right w:w="95" w:type="dxa"/>
            </w:tcMar>
          </w:tcPr>
          <w:p w14:paraId="4704543B" w14:textId="77777777" w:rsidR="00275325" w:rsidRDefault="005C749E">
            <w:r>
              <w:t>Is that conclusion too strong?</w:t>
            </w:r>
          </w:p>
        </w:tc>
        <w:tc>
          <w:tcPr>
            <w:tcW w:w="2736" w:type="dxa"/>
            <w:shd w:val="clear" w:color="auto" w:fill="F2F2F2"/>
            <w:tcMar>
              <w:top w:w="80" w:type="dxa"/>
              <w:left w:w="95" w:type="dxa"/>
              <w:bottom w:w="80" w:type="dxa"/>
              <w:right w:w="95" w:type="dxa"/>
            </w:tcMar>
          </w:tcPr>
          <w:p w14:paraId="0C20417D" w14:textId="77777777" w:rsidR="00275325" w:rsidRDefault="005C749E">
            <w:r>
              <w:rPr>
                <w:i/>
                <w:color w:val="5A5A5A"/>
              </w:rPr>
              <w:t>Notices overreach but does not identify which claim dial is too high.</w:t>
            </w:r>
          </w:p>
        </w:tc>
      </w:tr>
      <w:tr w:rsidR="00275325" w14:paraId="5300286E" w14:textId="77777777">
        <w:trPr>
          <w:cantSplit/>
          <w:jc w:val="center"/>
        </w:trPr>
        <w:tc>
          <w:tcPr>
            <w:tcW w:w="2088" w:type="dxa"/>
            <w:shd w:val="clear" w:color="auto" w:fill="FFFFFF"/>
            <w:tcMar>
              <w:top w:w="80" w:type="dxa"/>
              <w:left w:w="95" w:type="dxa"/>
              <w:bottom w:w="80" w:type="dxa"/>
              <w:right w:w="95" w:type="dxa"/>
            </w:tcMar>
          </w:tcPr>
          <w:p w14:paraId="76827B03" w14:textId="77777777" w:rsidR="00275325" w:rsidRDefault="005C749E">
            <w:r>
              <w:rPr>
                <w:b/>
                <w:color w:val="1F4E79"/>
              </w:rPr>
              <w:t>Nitpicky</w:t>
            </w:r>
          </w:p>
        </w:tc>
        <w:tc>
          <w:tcPr>
            <w:tcW w:w="6120" w:type="dxa"/>
            <w:shd w:val="clear" w:color="auto" w:fill="FFFFFF"/>
            <w:tcMar>
              <w:top w:w="80" w:type="dxa"/>
              <w:left w:w="95" w:type="dxa"/>
              <w:bottom w:w="80" w:type="dxa"/>
              <w:right w:w="95" w:type="dxa"/>
            </w:tcMar>
          </w:tcPr>
          <w:p w14:paraId="06B60706" w14:textId="77777777" w:rsidR="00275325" w:rsidRDefault="005C749E">
            <w:r>
              <w:t>Did every participant walk for exactly 10 minutes to the second?</w:t>
            </w:r>
          </w:p>
        </w:tc>
        <w:tc>
          <w:tcPr>
            <w:tcW w:w="2736" w:type="dxa"/>
            <w:shd w:val="clear" w:color="auto" w:fill="FFFFFF"/>
            <w:tcMar>
              <w:top w:w="80" w:type="dxa"/>
              <w:left w:w="95" w:type="dxa"/>
              <w:bottom w:w="80" w:type="dxa"/>
              <w:right w:w="95" w:type="dxa"/>
            </w:tcMar>
          </w:tcPr>
          <w:p w14:paraId="10381812" w14:textId="77777777" w:rsidR="00275325" w:rsidRDefault="005C749E">
            <w:r>
              <w:rPr>
                <w:i/>
                <w:color w:val="5A5A5A"/>
              </w:rPr>
              <w:t>Minor procedural precision does not address the strength or scope of the conclusion.</w:t>
            </w:r>
          </w:p>
        </w:tc>
      </w:tr>
      <w:tr w:rsidR="00275325" w14:paraId="2B555C55" w14:textId="77777777">
        <w:trPr>
          <w:cantSplit/>
          <w:jc w:val="center"/>
        </w:trPr>
        <w:tc>
          <w:tcPr>
            <w:tcW w:w="2088" w:type="dxa"/>
            <w:shd w:val="clear" w:color="auto" w:fill="F2F2F2"/>
            <w:tcMar>
              <w:top w:w="80" w:type="dxa"/>
              <w:left w:w="95" w:type="dxa"/>
              <w:bottom w:w="80" w:type="dxa"/>
              <w:right w:w="95" w:type="dxa"/>
            </w:tcMar>
          </w:tcPr>
          <w:p w14:paraId="481BDF26" w14:textId="77777777" w:rsidR="00275325" w:rsidRDefault="005C749E">
            <w:r>
              <w:rPr>
                <w:b/>
                <w:color w:val="1F4E79"/>
              </w:rPr>
              <w:t>Differently worded but acceptable</w:t>
            </w:r>
          </w:p>
        </w:tc>
        <w:tc>
          <w:tcPr>
            <w:tcW w:w="6120" w:type="dxa"/>
            <w:shd w:val="clear" w:color="auto" w:fill="F2F2F2"/>
            <w:tcMar>
              <w:top w:w="80" w:type="dxa"/>
              <w:left w:w="95" w:type="dxa"/>
              <w:bottom w:w="80" w:type="dxa"/>
              <w:right w:w="95" w:type="dxa"/>
            </w:tcMar>
          </w:tcPr>
          <w:p w14:paraId="704C90D0" w14:textId="77777777" w:rsidR="00275325" w:rsidRDefault="005C749E">
            <w:r>
              <w:t>How far can the evidence take us - short-term stress reduction in these students, or broader adult mental-health improvement?</w:t>
            </w:r>
          </w:p>
        </w:tc>
        <w:tc>
          <w:tcPr>
            <w:tcW w:w="2736" w:type="dxa"/>
            <w:shd w:val="clear" w:color="auto" w:fill="F2F2F2"/>
            <w:tcMar>
              <w:top w:w="80" w:type="dxa"/>
              <w:left w:w="95" w:type="dxa"/>
              <w:bottom w:w="80" w:type="dxa"/>
              <w:right w:w="95" w:type="dxa"/>
            </w:tcMar>
          </w:tcPr>
          <w:p w14:paraId="445C7DDD" w14:textId="77777777" w:rsidR="00275325" w:rsidRDefault="005C749E">
            <w:r>
              <w:rPr>
                <w:i/>
                <w:color w:val="5A5A5A"/>
              </w:rPr>
              <w:t>Different phrasing, same calibration operation.</w:t>
            </w:r>
          </w:p>
        </w:tc>
      </w:tr>
    </w:tbl>
    <w:p w14:paraId="04C3E294" w14:textId="77777777" w:rsidR="00275325" w:rsidRDefault="005C749E">
      <w:r>
        <w:br w:type="page"/>
      </w:r>
    </w:p>
    <w:p w14:paraId="69D7F5FF" w14:textId="77777777" w:rsidR="00275325" w:rsidRDefault="005C749E">
      <w:pPr>
        <w:pStyle w:val="Heading1"/>
      </w:pPr>
      <w:r>
        <w:lastRenderedPageBreak/>
        <w:t>Source Note</w:t>
      </w:r>
    </w:p>
    <w:p w14:paraId="1D051440" w14:textId="77777777" w:rsidR="00275325" w:rsidRDefault="005C749E">
      <w:r>
        <w:t>Targets 1, 2, and 4–8 retain the cases and evaluation guidance developed from PHIL 205 Learning Target Diagnostic Specifications (Fall 2026). Those sections are unchanged in this revision.</w:t>
      </w:r>
    </w:p>
    <w:p w14:paraId="66E6A234" w14:textId="77777777" w:rsidR="00275325" w:rsidRDefault="005C749E">
      <w:r>
        <w:t>Target 3 was replaced on September 23, 2026. Its title follows Learning Targets Map; its conditional-reasoning method, diagnostic-question standards, and three-way verdict distinction follow What Does That Condition Let Us Conclude? Enough, Required, and Left Open (Target 3, v2), especially Sections II–X, XIII–XIV, and XVI.</w:t>
      </w:r>
    </w:p>
    <w:p w14:paraId="38E9A59E" w14:textId="77777777" w:rsidR="00275325" w:rsidRDefault="005C749E">
      <w:r>
        <w:t>The revised Target 3 cases are new instructional scenarios, not quotations from actual policies and not copies of the handout’s practice problems. They preserve the handout’s emphasis on strict conditional rules, premise-preserving counterexamples, ordinary-language questions, and explanations of what the rule establishes or leaves open. The sample responses model evaluation standards; students need not reproduce their wording.</w:t>
      </w:r>
    </w:p>
    <w:p w14:paraId="76837A7B" w14:textId="77777777" w:rsidR="00275325" w:rsidRDefault="005C749E">
      <w:pPr>
        <w:spacing w:before="160" w:after="40"/>
      </w:pPr>
      <w:r>
        <w:rPr>
          <w:b/>
        </w:rPr>
        <w:t xml:space="preserve">Target 3 source priority: </w:t>
      </w:r>
      <w:r>
        <w:t>For Target 3, use this revised section and the current conditional-reasoning handout instead of earlier Target 3 definitions, cases, or evaluation guidance in the companion specifications. This revision follows the handout’s focused conditional unit; it does not expand practice to the broader multi-condition or exception topics still listed in the map. The separate specifications and map have not been edited in this document update.</w:t>
      </w:r>
    </w:p>
    <w:sectPr w:rsidR="00275325" w:rsidSect="00034616">
      <w:headerReference w:type="default" r:id="rId8"/>
      <w:footerReference w:type="default" r:id="rId9"/>
      <w:pgSz w:w="12240" w:h="15840"/>
      <w:pgMar w:top="1008" w:right="1080" w:bottom="93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08804" w14:textId="77777777" w:rsidR="008A52F5" w:rsidRDefault="008A52F5">
      <w:pPr>
        <w:spacing w:after="0" w:line="240" w:lineRule="auto"/>
      </w:pPr>
      <w:r>
        <w:separator/>
      </w:r>
    </w:p>
  </w:endnote>
  <w:endnote w:type="continuationSeparator" w:id="0">
    <w:p w14:paraId="58F4C653" w14:textId="77777777" w:rsidR="008A52F5" w:rsidRDefault="008A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0C8C" w14:textId="77777777" w:rsidR="00275325" w:rsidRDefault="005C749E">
    <w:pPr>
      <w:pStyle w:val="Footer"/>
      <w:jc w:val="right"/>
    </w:pPr>
    <w:r>
      <w:rPr>
        <w:color w:val="5A5A5A"/>
        <w:sz w:val="17"/>
      </w:rPr>
      <w:t xml:space="preserve">Fall 2026    </w:t>
    </w:r>
    <w:r>
      <w:rPr>
        <w:color w:val="5A5A5A"/>
        <w:sz w:val="17"/>
      </w:rPr>
      <w:fldChar w:fldCharType="begin"/>
    </w:r>
    <w:r>
      <w:rPr>
        <w:color w:val="5A5A5A"/>
        <w:sz w:val="17"/>
      </w:rPr>
      <w:instrText xml:space="preserve"> PAGE </w:instrText>
    </w:r>
    <w:r>
      <w:rPr>
        <w:color w:val="5A5A5A"/>
        <w:sz w:val="17"/>
      </w:rPr>
      <w:fldChar w:fldCharType="separate"/>
    </w:r>
    <w:r w:rsidR="00176911">
      <w:rPr>
        <w:noProof/>
        <w:color w:val="5A5A5A"/>
        <w:sz w:val="17"/>
      </w:rPr>
      <w:t>1</w:t>
    </w:r>
    <w:r>
      <w:rPr>
        <w:color w:val="5A5A5A"/>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96088" w14:textId="77777777" w:rsidR="008A52F5" w:rsidRDefault="008A52F5">
      <w:pPr>
        <w:spacing w:after="0" w:line="240" w:lineRule="auto"/>
      </w:pPr>
      <w:r>
        <w:separator/>
      </w:r>
    </w:p>
  </w:footnote>
  <w:footnote w:type="continuationSeparator" w:id="0">
    <w:p w14:paraId="30C69F95" w14:textId="77777777" w:rsidR="008A52F5" w:rsidRDefault="008A5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DF10A" w14:textId="77777777" w:rsidR="00275325" w:rsidRDefault="005C749E">
    <w:pPr>
      <w:pStyle w:val="Header"/>
    </w:pPr>
    <w:r>
      <w:rPr>
        <w:color w:val="5A5A5A"/>
        <w:sz w:val="17"/>
      </w:rPr>
      <w:t>PHIL 205 | Learning Target Case and Student-Response Bank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6722754">
    <w:abstractNumId w:val="8"/>
  </w:num>
  <w:num w:numId="2" w16cid:durableId="1482189780">
    <w:abstractNumId w:val="6"/>
  </w:num>
  <w:num w:numId="3" w16cid:durableId="1960602793">
    <w:abstractNumId w:val="5"/>
  </w:num>
  <w:num w:numId="4" w16cid:durableId="868837880">
    <w:abstractNumId w:val="4"/>
  </w:num>
  <w:num w:numId="5" w16cid:durableId="1225263025">
    <w:abstractNumId w:val="7"/>
  </w:num>
  <w:num w:numId="6" w16cid:durableId="2135714991">
    <w:abstractNumId w:val="3"/>
  </w:num>
  <w:num w:numId="7" w16cid:durableId="167329090">
    <w:abstractNumId w:val="2"/>
  </w:num>
  <w:num w:numId="8" w16cid:durableId="1259873837">
    <w:abstractNumId w:val="1"/>
  </w:num>
  <w:num w:numId="9" w16cid:durableId="929890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911"/>
    <w:rsid w:val="00275325"/>
    <w:rsid w:val="0029639D"/>
    <w:rsid w:val="00326F90"/>
    <w:rsid w:val="00420CDF"/>
    <w:rsid w:val="005C749E"/>
    <w:rsid w:val="005E6817"/>
    <w:rsid w:val="00612627"/>
    <w:rsid w:val="008A52F5"/>
    <w:rsid w:val="00AA1D8D"/>
    <w:rsid w:val="00B47730"/>
    <w:rsid w:val="00CB0664"/>
    <w:rsid w:val="00F623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38A138"/>
  <w14:defaultImageDpi w14:val="300"/>
  <w15:docId w15:val="{11348EF2-58AA-4688-928F-E8289139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color w:val="1F1F1F"/>
      <w:sz w:val="21"/>
    </w:rPr>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lex">
    <w:name w:val="Reflex"/>
    <w:pPr>
      <w:spacing w:after="160"/>
    </w:pPr>
    <w:rPr>
      <w:rFonts w:ascii="Aptos" w:hAnsi="Aptos"/>
      <w:i/>
      <w:color w:val="5A5A5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3904</Words>
  <Characters>22256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 205 Learning Target Case and Student-Response Bank</dc:title>
  <dc:subject>Cases and sample student responses for eight critical-thinking learning targets</dc:subject>
  <dc:creator>python-docx</dc:creator>
  <cp:keywords>PHIL 205, critical thinking, learning targets, diagnostic questions, student responses</cp:keywords>
  <dc:description>generated by python-docx</dc:description>
  <cp:lastModifiedBy>Kali Milner</cp:lastModifiedBy>
  <cp:revision>2</cp:revision>
  <dcterms:created xsi:type="dcterms:W3CDTF">2026-09-23T15:08:00Z</dcterms:created>
  <dcterms:modified xsi:type="dcterms:W3CDTF">2026-09-23T15:08:00Z</dcterms:modified>
  <cp:category/>
</cp:coreProperties>
</file>