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7D7F" w14:textId="77777777" w:rsidR="00707C36" w:rsidRDefault="00EB2926">
      <w:r>
        <w:t>PHIL 205: Logic and Critical Thinking</w:t>
      </w:r>
    </w:p>
    <w:p w14:paraId="59EF7802" w14:textId="77777777" w:rsidR="00707C36" w:rsidRDefault="00EB2926">
      <w:pPr>
        <w:pStyle w:val="Title"/>
        <w:jc w:val="center"/>
      </w:pPr>
      <w:r>
        <w:t>What Does That Condition Let Us Conclude?</w:t>
      </w:r>
    </w:p>
    <w:p w14:paraId="52DBBCC4" w14:textId="77777777" w:rsidR="00707C36" w:rsidRDefault="00EB2926">
      <w:pPr>
        <w:pStyle w:val="Subtitle"/>
        <w:jc w:val="center"/>
      </w:pPr>
      <w:r>
        <w:t>Enough, Required, and Left Open</w:t>
      </w:r>
    </w:p>
    <w:p w14:paraId="2FB4B791" w14:textId="32345AB5" w:rsidR="00707C36" w:rsidRDefault="000B6927" w:rsidP="000B6927">
      <w:pPr>
        <w:jc w:val="center"/>
      </w:pPr>
      <w:r>
        <w:t>Target 3</w:t>
      </w:r>
    </w:p>
    <w:p w14:paraId="00B5977E" w14:textId="0363702A" w:rsidR="00707C36" w:rsidRDefault="00EB2926">
      <w:pPr>
        <w:pStyle w:val="Heading1"/>
      </w:pPr>
      <w:r>
        <w:t xml:space="preserve">I. </w:t>
      </w:r>
      <w:r w:rsidR="000B6927">
        <w:t>What Did the Rule Actually Promise?</w:t>
      </w:r>
    </w:p>
    <w:p w14:paraId="518170B3" w14:textId="77777777" w:rsidR="00707C36" w:rsidRDefault="00EB2926">
      <w:r>
        <w:t>An exhibition posts this announcement:</w:t>
      </w:r>
    </w:p>
    <w:p w14:paraId="6DCD5825" w14:textId="77777777" w:rsidR="00707C36" w:rsidRDefault="00EB2926">
      <w:pPr>
        <w:pStyle w:val="Case"/>
      </w:pPr>
      <w:r>
        <w:t>“If you present a blue admission voucher, you receive free admission.”</w:t>
      </w:r>
    </w:p>
    <w:p w14:paraId="79BB75EE" w14:textId="77777777" w:rsidR="00707C36" w:rsidRDefault="00EB2926">
      <w:r>
        <w:t>Casey received free admission. A volunteer concludes that Casey must have presented a blue voucher.</w:t>
      </w:r>
    </w:p>
    <w:p w14:paraId="27A81A48" w14:textId="77777777" w:rsidR="00707C36" w:rsidRDefault="00EB2926">
      <w:pPr>
        <w:pStyle w:val="Exercise"/>
      </w:pPr>
      <w:r>
        <w:rPr>
          <w:b/>
        </w:rPr>
        <w:t xml:space="preserve">Opening 1. </w:t>
      </w:r>
      <w:r>
        <w:t>Does the announcement establish the volunteer’s conclusion? Write what you first think.</w:t>
      </w:r>
    </w:p>
    <w:p w14:paraId="57C7B726" w14:textId="77777777" w:rsidR="000B6927" w:rsidRDefault="000B6927">
      <w:pPr>
        <w:pStyle w:val="Exercise"/>
      </w:pPr>
    </w:p>
    <w:p w14:paraId="2F6C3703" w14:textId="77777777" w:rsidR="000B6927" w:rsidRDefault="000B6927">
      <w:pPr>
        <w:pStyle w:val="Exercise"/>
      </w:pPr>
    </w:p>
    <w:p w14:paraId="77050881" w14:textId="77777777" w:rsidR="00707C36" w:rsidRDefault="00707C36">
      <w:pPr>
        <w:pStyle w:val="AnswerSpace"/>
      </w:pPr>
    </w:p>
    <w:p w14:paraId="17244097" w14:textId="5F244F42" w:rsidR="00707C36" w:rsidRDefault="00EB2926">
      <w:pPr>
        <w:pStyle w:val="Exercise"/>
      </w:pPr>
      <w:r>
        <w:rPr>
          <w:b/>
        </w:rPr>
        <w:t xml:space="preserve">Opening 2. </w:t>
      </w:r>
      <w:r>
        <w:t xml:space="preserve">Which situation would </w:t>
      </w:r>
      <w:proofErr w:type="gramStart"/>
      <w:r>
        <w:t>actually break</w:t>
      </w:r>
      <w:proofErr w:type="gramEnd"/>
      <w:r>
        <w:t xml:space="preserve"> the </w:t>
      </w:r>
      <w:r w:rsidR="000B6927">
        <w:t>rule</w:t>
      </w:r>
      <w:r>
        <w:t>: (a) someone presents a voucher and is charged admission, or (b) someone has no voucher and is admitted free? Explain.</w:t>
      </w:r>
    </w:p>
    <w:p w14:paraId="64CEA0EB" w14:textId="77777777" w:rsidR="00707C36" w:rsidRDefault="00707C36">
      <w:pPr>
        <w:pStyle w:val="AnswerSpace"/>
      </w:pPr>
    </w:p>
    <w:p w14:paraId="0D057F01" w14:textId="77777777" w:rsidR="000B6927" w:rsidRDefault="000B6927">
      <w:pPr>
        <w:pStyle w:val="AnswerSpace"/>
      </w:pPr>
    </w:p>
    <w:p w14:paraId="62663BA7" w14:textId="77777777" w:rsidR="000B6927" w:rsidRDefault="000B6927">
      <w:pPr>
        <w:pStyle w:val="AnswerSpace"/>
      </w:pPr>
    </w:p>
    <w:p w14:paraId="599F6CC2" w14:textId="77777777" w:rsidR="000B6927" w:rsidRDefault="000B6927">
      <w:pPr>
        <w:pStyle w:val="AnswerSpace"/>
      </w:pPr>
    </w:p>
    <w:p w14:paraId="66003CD2" w14:textId="77777777" w:rsidR="00707C36" w:rsidRDefault="00EB2926">
      <w:r>
        <w:t>The rule makes one promise: voucher holders get free admission. So the rule is broken by a voucher holder who does not get free admission. It is not broken merely because someone without a voucher also gets in free.</w:t>
      </w:r>
    </w:p>
    <w:p w14:paraId="322A423F" w14:textId="378E9270" w:rsidR="00707C36" w:rsidRDefault="00EB2926">
      <w:r>
        <w:t xml:space="preserve">That </w:t>
      </w:r>
      <w:r w:rsidR="000B6927">
        <w:t xml:space="preserve">is important </w:t>
      </w:r>
      <w:r>
        <w:t xml:space="preserve">because the volunteer is </w:t>
      </w:r>
      <w:r w:rsidR="000B6927">
        <w:t>sneaking in</w:t>
      </w:r>
      <w:r>
        <w:t xml:space="preserve"> a second rule: “Only people with vouchers get free admission.” The original announcement never said that. Casey might have been a guest, a staff member, or someone admitted under a different policy. We do not know that any of those things happened. The point is simply that the stated rule did not rule them out.</w:t>
      </w:r>
    </w:p>
    <w:p w14:paraId="1A3C2B54" w14:textId="77777777" w:rsidR="00707C36" w:rsidRDefault="00EB2926">
      <w:pPr>
        <w:pStyle w:val="Callout"/>
      </w:pPr>
      <w:r>
        <w:rPr>
          <w:b/>
        </w:rPr>
        <w:t>Core idea</w:t>
      </w:r>
      <w:r>
        <w:br/>
        <w:t>An if-then rule rules out one kind of mismatch. It does not automatically say the two things always occur together.</w:t>
      </w:r>
    </w:p>
    <w:p w14:paraId="1156F116" w14:textId="77777777" w:rsidR="00707C36" w:rsidRDefault="00EB2926">
      <w:pPr>
        <w:pStyle w:val="Heading1"/>
      </w:pPr>
      <w:r>
        <w:t>II. The Four-Case Checklist</w:t>
      </w:r>
    </w:p>
    <w:p w14:paraId="4F6B9BFA" w14:textId="64986271" w:rsidR="00707C36" w:rsidRDefault="00EB2926">
      <w:r>
        <w:t xml:space="preserve">A truth table sounds technical, but the basic job is </w:t>
      </w:r>
      <w:r w:rsidR="000B6927">
        <w:t>just to force</w:t>
      </w:r>
      <w:r>
        <w:t xml:space="preserve"> us to list every possible combination so that we do not accidentally forget the one that defeats our conclusion.</w:t>
      </w:r>
    </w:p>
    <w:p w14:paraId="6E4BAE7E" w14:textId="77777777" w:rsidR="00707C36" w:rsidRDefault="00EB2926">
      <w:r>
        <w:t>Keep the voucher rule fixed: “If someone presents a voucher, that person receives free admission.” For one visitor, there are only four possibilities: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088"/>
        <w:gridCol w:w="6120"/>
      </w:tblGrid>
      <w:tr w:rsidR="00707C36" w14:paraId="5B5539E1" w14:textId="77777777" w:rsidTr="000B6927">
        <w:trPr>
          <w:cantSplit/>
          <w:tblHeader/>
          <w:jc w:val="center"/>
        </w:trPr>
        <w:tc>
          <w:tcPr>
            <w:tcW w:w="2088" w:type="dxa"/>
            <w:shd w:val="clear" w:color="auto" w:fill="E7E7E7"/>
            <w:tcMar>
              <w:top w:w="70" w:type="dxa"/>
              <w:left w:w="80" w:type="dxa"/>
              <w:bottom w:w="70" w:type="dxa"/>
              <w:right w:w="80" w:type="dxa"/>
            </w:tcMar>
            <w:vAlign w:val="center"/>
          </w:tcPr>
          <w:p w14:paraId="68720E75" w14:textId="77777777" w:rsidR="00707C36" w:rsidRDefault="00EB2926">
            <w:pPr>
              <w:pStyle w:val="TableText"/>
            </w:pPr>
            <w:r>
              <w:rPr>
                <w:b/>
              </w:rPr>
              <w:lastRenderedPageBreak/>
              <w:t>Voucher presented?</w:t>
            </w:r>
          </w:p>
        </w:tc>
        <w:tc>
          <w:tcPr>
            <w:tcW w:w="2088" w:type="dxa"/>
            <w:shd w:val="clear" w:color="auto" w:fill="E7E7E7"/>
            <w:tcMar>
              <w:top w:w="70" w:type="dxa"/>
              <w:left w:w="80" w:type="dxa"/>
              <w:bottom w:w="70" w:type="dxa"/>
              <w:right w:w="80" w:type="dxa"/>
            </w:tcMar>
            <w:vAlign w:val="center"/>
          </w:tcPr>
          <w:p w14:paraId="7AA193EA" w14:textId="77777777" w:rsidR="00707C36" w:rsidRDefault="00EB2926">
            <w:pPr>
              <w:pStyle w:val="TableText"/>
            </w:pPr>
            <w:r>
              <w:rPr>
                <w:b/>
              </w:rPr>
              <w:t>Free admission?</w:t>
            </w:r>
          </w:p>
        </w:tc>
        <w:tc>
          <w:tcPr>
            <w:tcW w:w="6120" w:type="dxa"/>
            <w:shd w:val="clear" w:color="auto" w:fill="E7E7E7"/>
            <w:tcMar>
              <w:top w:w="70" w:type="dxa"/>
              <w:left w:w="80" w:type="dxa"/>
              <w:bottom w:w="70" w:type="dxa"/>
              <w:right w:w="80" w:type="dxa"/>
            </w:tcMar>
            <w:vAlign w:val="center"/>
          </w:tcPr>
          <w:p w14:paraId="23B46A0D" w14:textId="77777777" w:rsidR="00707C36" w:rsidRDefault="00EB2926">
            <w:pPr>
              <w:pStyle w:val="TableText"/>
            </w:pPr>
            <w:r>
              <w:rPr>
                <w:b/>
              </w:rPr>
              <w:t>Does this break the rule?</w:t>
            </w:r>
          </w:p>
        </w:tc>
      </w:tr>
      <w:tr w:rsidR="00707C36" w14:paraId="78301049" w14:textId="77777777" w:rsidTr="000B6927">
        <w:trPr>
          <w:cantSplit/>
          <w:jc w:val="center"/>
        </w:trPr>
        <w:tc>
          <w:tcPr>
            <w:tcW w:w="2088" w:type="dxa"/>
            <w:tcMar>
              <w:top w:w="70" w:type="dxa"/>
              <w:left w:w="80" w:type="dxa"/>
              <w:bottom w:w="70" w:type="dxa"/>
              <w:right w:w="80" w:type="dxa"/>
            </w:tcMar>
            <w:vAlign w:val="center"/>
          </w:tcPr>
          <w:p w14:paraId="6F9A5FAD" w14:textId="77777777" w:rsidR="00707C36" w:rsidRDefault="00EB2926">
            <w:pPr>
              <w:pStyle w:val="TableText"/>
            </w:pPr>
            <w:r>
              <w:t>Yes</w:t>
            </w:r>
          </w:p>
        </w:tc>
        <w:tc>
          <w:tcPr>
            <w:tcW w:w="2088" w:type="dxa"/>
            <w:tcMar>
              <w:top w:w="70" w:type="dxa"/>
              <w:left w:w="80" w:type="dxa"/>
              <w:bottom w:w="70" w:type="dxa"/>
              <w:right w:w="80" w:type="dxa"/>
            </w:tcMar>
            <w:vAlign w:val="center"/>
          </w:tcPr>
          <w:p w14:paraId="1055621E" w14:textId="77777777" w:rsidR="00707C36" w:rsidRDefault="00EB2926">
            <w:pPr>
              <w:pStyle w:val="TableText"/>
            </w:pPr>
            <w:r>
              <w:t>Yes</w:t>
            </w:r>
          </w:p>
        </w:tc>
        <w:tc>
          <w:tcPr>
            <w:tcW w:w="6120" w:type="dxa"/>
            <w:tcMar>
              <w:top w:w="70" w:type="dxa"/>
              <w:left w:w="80" w:type="dxa"/>
              <w:bottom w:w="70" w:type="dxa"/>
              <w:right w:w="80" w:type="dxa"/>
            </w:tcMar>
            <w:vAlign w:val="center"/>
          </w:tcPr>
          <w:p w14:paraId="36A1CC86" w14:textId="77777777" w:rsidR="00707C36" w:rsidRDefault="00EB2926">
            <w:pPr>
              <w:pStyle w:val="TableText"/>
            </w:pPr>
            <w:r>
              <w:t>No. The promised result happened.</w:t>
            </w:r>
          </w:p>
        </w:tc>
      </w:tr>
      <w:tr w:rsidR="00707C36" w14:paraId="0B8F9996" w14:textId="77777777" w:rsidTr="000B6927">
        <w:trPr>
          <w:cantSplit/>
          <w:jc w:val="center"/>
        </w:trPr>
        <w:tc>
          <w:tcPr>
            <w:tcW w:w="2088" w:type="dxa"/>
            <w:tcMar>
              <w:top w:w="70" w:type="dxa"/>
              <w:left w:w="80" w:type="dxa"/>
              <w:bottom w:w="70" w:type="dxa"/>
              <w:right w:w="80" w:type="dxa"/>
            </w:tcMar>
            <w:vAlign w:val="center"/>
          </w:tcPr>
          <w:p w14:paraId="66EDB807" w14:textId="77777777" w:rsidR="00707C36" w:rsidRDefault="00EB2926">
            <w:pPr>
              <w:pStyle w:val="TableText"/>
            </w:pPr>
            <w:r>
              <w:t>Yes</w:t>
            </w:r>
          </w:p>
        </w:tc>
        <w:tc>
          <w:tcPr>
            <w:tcW w:w="2088" w:type="dxa"/>
            <w:tcMar>
              <w:top w:w="70" w:type="dxa"/>
              <w:left w:w="80" w:type="dxa"/>
              <w:bottom w:w="70" w:type="dxa"/>
              <w:right w:w="80" w:type="dxa"/>
            </w:tcMar>
            <w:vAlign w:val="center"/>
          </w:tcPr>
          <w:p w14:paraId="48B9D9F5" w14:textId="77777777" w:rsidR="00707C36" w:rsidRDefault="00EB2926">
            <w:pPr>
              <w:pStyle w:val="TableText"/>
            </w:pPr>
            <w:r>
              <w:t>No</w:t>
            </w:r>
          </w:p>
        </w:tc>
        <w:tc>
          <w:tcPr>
            <w:tcW w:w="6120" w:type="dxa"/>
            <w:tcMar>
              <w:top w:w="70" w:type="dxa"/>
              <w:left w:w="80" w:type="dxa"/>
              <w:bottom w:w="70" w:type="dxa"/>
              <w:right w:w="80" w:type="dxa"/>
            </w:tcMar>
            <w:vAlign w:val="center"/>
          </w:tcPr>
          <w:p w14:paraId="1CEB57AF" w14:textId="77777777" w:rsidR="00707C36" w:rsidRDefault="00EB2926">
            <w:pPr>
              <w:pStyle w:val="TableText"/>
            </w:pPr>
            <w:r>
              <w:t>Yes. This is exactly what the rule forbids.</w:t>
            </w:r>
          </w:p>
        </w:tc>
      </w:tr>
      <w:tr w:rsidR="00707C36" w14:paraId="1F6478CF" w14:textId="77777777" w:rsidTr="000B6927">
        <w:trPr>
          <w:cantSplit/>
          <w:jc w:val="center"/>
        </w:trPr>
        <w:tc>
          <w:tcPr>
            <w:tcW w:w="2088" w:type="dxa"/>
            <w:tcMar>
              <w:top w:w="70" w:type="dxa"/>
              <w:left w:w="80" w:type="dxa"/>
              <w:bottom w:w="70" w:type="dxa"/>
              <w:right w:w="80" w:type="dxa"/>
            </w:tcMar>
            <w:vAlign w:val="center"/>
          </w:tcPr>
          <w:p w14:paraId="1F03CE22" w14:textId="77777777" w:rsidR="00707C36" w:rsidRDefault="00EB2926">
            <w:pPr>
              <w:pStyle w:val="TableText"/>
            </w:pPr>
            <w:r>
              <w:t>No</w:t>
            </w:r>
          </w:p>
        </w:tc>
        <w:tc>
          <w:tcPr>
            <w:tcW w:w="2088" w:type="dxa"/>
            <w:tcMar>
              <w:top w:w="70" w:type="dxa"/>
              <w:left w:w="80" w:type="dxa"/>
              <w:bottom w:w="70" w:type="dxa"/>
              <w:right w:w="80" w:type="dxa"/>
            </w:tcMar>
            <w:vAlign w:val="center"/>
          </w:tcPr>
          <w:p w14:paraId="7007C27E" w14:textId="77777777" w:rsidR="00707C36" w:rsidRDefault="00EB2926">
            <w:pPr>
              <w:pStyle w:val="TableText"/>
            </w:pPr>
            <w:r>
              <w:t>Yes</w:t>
            </w:r>
          </w:p>
        </w:tc>
        <w:tc>
          <w:tcPr>
            <w:tcW w:w="6120" w:type="dxa"/>
            <w:tcMar>
              <w:top w:w="70" w:type="dxa"/>
              <w:left w:w="80" w:type="dxa"/>
              <w:bottom w:w="70" w:type="dxa"/>
              <w:right w:w="80" w:type="dxa"/>
            </w:tcMar>
            <w:vAlign w:val="center"/>
          </w:tcPr>
          <w:p w14:paraId="74BD5B4C" w14:textId="77777777" w:rsidR="00707C36" w:rsidRDefault="00EB2926">
            <w:pPr>
              <w:pStyle w:val="TableText"/>
            </w:pPr>
            <w:r>
              <w:t>No. The rule never said a voucher was the only route to free admission.</w:t>
            </w:r>
          </w:p>
        </w:tc>
      </w:tr>
      <w:tr w:rsidR="00707C36" w14:paraId="031D17FA" w14:textId="77777777" w:rsidTr="000B6927">
        <w:trPr>
          <w:cantSplit/>
          <w:jc w:val="center"/>
        </w:trPr>
        <w:tc>
          <w:tcPr>
            <w:tcW w:w="2088" w:type="dxa"/>
            <w:tcMar>
              <w:top w:w="70" w:type="dxa"/>
              <w:left w:w="80" w:type="dxa"/>
              <w:bottom w:w="70" w:type="dxa"/>
              <w:right w:w="80" w:type="dxa"/>
            </w:tcMar>
            <w:vAlign w:val="center"/>
          </w:tcPr>
          <w:p w14:paraId="6C7B5CF6" w14:textId="77777777" w:rsidR="00707C36" w:rsidRDefault="00EB2926">
            <w:pPr>
              <w:pStyle w:val="TableText"/>
            </w:pPr>
            <w:r>
              <w:t>No</w:t>
            </w:r>
          </w:p>
        </w:tc>
        <w:tc>
          <w:tcPr>
            <w:tcW w:w="2088" w:type="dxa"/>
            <w:tcMar>
              <w:top w:w="70" w:type="dxa"/>
              <w:left w:w="80" w:type="dxa"/>
              <w:bottom w:w="70" w:type="dxa"/>
              <w:right w:w="80" w:type="dxa"/>
            </w:tcMar>
            <w:vAlign w:val="center"/>
          </w:tcPr>
          <w:p w14:paraId="53AA394F" w14:textId="77777777" w:rsidR="00707C36" w:rsidRDefault="00EB2926">
            <w:pPr>
              <w:pStyle w:val="TableText"/>
            </w:pPr>
            <w:r>
              <w:t>No</w:t>
            </w:r>
          </w:p>
        </w:tc>
        <w:tc>
          <w:tcPr>
            <w:tcW w:w="6120" w:type="dxa"/>
            <w:tcMar>
              <w:top w:w="70" w:type="dxa"/>
              <w:left w:w="80" w:type="dxa"/>
              <w:bottom w:w="70" w:type="dxa"/>
              <w:right w:w="80" w:type="dxa"/>
            </w:tcMar>
            <w:vAlign w:val="center"/>
          </w:tcPr>
          <w:p w14:paraId="446573ED" w14:textId="77777777" w:rsidR="00707C36" w:rsidRDefault="00EB2926">
            <w:pPr>
              <w:pStyle w:val="TableText"/>
            </w:pPr>
            <w:r>
              <w:t>No. No voucher means this rule made no promise of free admission.</w:t>
            </w:r>
          </w:p>
        </w:tc>
      </w:tr>
    </w:tbl>
    <w:p w14:paraId="0038B6BF" w14:textId="77777777" w:rsidR="000B6927" w:rsidRDefault="000B6927"/>
    <w:p w14:paraId="0E2D933C" w14:textId="450587D4" w:rsidR="00707C36" w:rsidRDefault="00EB2926">
      <w:r>
        <w:t>Only one row breaks the rule: voucher without free admission. That is the row to keep your eye on.</w:t>
      </w:r>
    </w:p>
    <w:p w14:paraId="05762E3C" w14:textId="77777777" w:rsidR="00707C36" w:rsidRDefault="00EB2926">
      <w:pPr>
        <w:pStyle w:val="Heading2"/>
      </w:pPr>
      <w:r>
        <w:t>Now we can add a small amount of notation</w:t>
      </w:r>
    </w:p>
    <w:p w14:paraId="21D85837" w14:textId="77777777" w:rsidR="00707C36" w:rsidRDefault="00EB2926">
      <w:r>
        <w:t>Let P stand for the whole statement “the visitor presents a voucher.” Let Q stand for “the visitor receives free admission.” The letters are just labels. They are not quantities and there is nothing to calculate.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8568"/>
      </w:tblGrid>
      <w:tr w:rsidR="00707C36" w14:paraId="5FDCF736" w14:textId="77777777" w:rsidTr="000B6927">
        <w:trPr>
          <w:cantSplit/>
          <w:tblHeader/>
          <w:jc w:val="center"/>
        </w:trPr>
        <w:tc>
          <w:tcPr>
            <w:tcW w:w="1728" w:type="dxa"/>
            <w:shd w:val="clear" w:color="auto" w:fill="E7E7E7"/>
            <w:tcMar>
              <w:top w:w="70" w:type="dxa"/>
              <w:left w:w="80" w:type="dxa"/>
              <w:bottom w:w="70" w:type="dxa"/>
              <w:right w:w="80" w:type="dxa"/>
            </w:tcMar>
            <w:vAlign w:val="center"/>
          </w:tcPr>
          <w:p w14:paraId="03BCF41A" w14:textId="77777777" w:rsidR="00707C36" w:rsidRDefault="00EB2926">
            <w:pPr>
              <w:pStyle w:val="TableText"/>
            </w:pPr>
            <w:r>
              <w:rPr>
                <w:b/>
              </w:rPr>
              <w:t>Symbol</w:t>
            </w:r>
          </w:p>
        </w:tc>
        <w:tc>
          <w:tcPr>
            <w:tcW w:w="8568" w:type="dxa"/>
            <w:shd w:val="clear" w:color="auto" w:fill="E7E7E7"/>
            <w:tcMar>
              <w:top w:w="70" w:type="dxa"/>
              <w:left w:w="80" w:type="dxa"/>
              <w:bottom w:w="70" w:type="dxa"/>
              <w:right w:w="80" w:type="dxa"/>
            </w:tcMar>
            <w:vAlign w:val="center"/>
          </w:tcPr>
          <w:p w14:paraId="02ED2CD1" w14:textId="77777777" w:rsidR="00707C36" w:rsidRDefault="00EB2926">
            <w:pPr>
              <w:pStyle w:val="TableText"/>
            </w:pPr>
            <w:r>
              <w:rPr>
                <w:b/>
              </w:rPr>
              <w:t>Meaning here</w:t>
            </w:r>
          </w:p>
        </w:tc>
      </w:tr>
      <w:tr w:rsidR="00707C36" w14:paraId="1D639756" w14:textId="77777777" w:rsidTr="000B6927">
        <w:trPr>
          <w:cantSplit/>
          <w:jc w:val="center"/>
        </w:trPr>
        <w:tc>
          <w:tcPr>
            <w:tcW w:w="1728" w:type="dxa"/>
            <w:tcMar>
              <w:top w:w="70" w:type="dxa"/>
              <w:left w:w="80" w:type="dxa"/>
              <w:bottom w:w="70" w:type="dxa"/>
              <w:right w:w="80" w:type="dxa"/>
            </w:tcMar>
            <w:vAlign w:val="center"/>
          </w:tcPr>
          <w:p w14:paraId="3B04AFAE" w14:textId="77777777" w:rsidR="00707C36" w:rsidRDefault="00EB2926">
            <w:pPr>
              <w:pStyle w:val="TableText"/>
            </w:pPr>
            <w:r>
              <w:t>P</w:t>
            </w:r>
          </w:p>
        </w:tc>
        <w:tc>
          <w:tcPr>
            <w:tcW w:w="8568" w:type="dxa"/>
            <w:tcMar>
              <w:top w:w="70" w:type="dxa"/>
              <w:left w:w="80" w:type="dxa"/>
              <w:bottom w:w="70" w:type="dxa"/>
              <w:right w:w="80" w:type="dxa"/>
            </w:tcMar>
            <w:vAlign w:val="center"/>
          </w:tcPr>
          <w:p w14:paraId="3DD4879E" w14:textId="77777777" w:rsidR="00707C36" w:rsidRDefault="00EB2926">
            <w:pPr>
              <w:pStyle w:val="TableText"/>
            </w:pPr>
            <w:r>
              <w:t>The visitor presents a voucher.</w:t>
            </w:r>
          </w:p>
        </w:tc>
      </w:tr>
      <w:tr w:rsidR="00707C36" w14:paraId="77EB0C94" w14:textId="77777777" w:rsidTr="000B6927">
        <w:trPr>
          <w:cantSplit/>
          <w:jc w:val="center"/>
        </w:trPr>
        <w:tc>
          <w:tcPr>
            <w:tcW w:w="1728" w:type="dxa"/>
            <w:tcMar>
              <w:top w:w="70" w:type="dxa"/>
              <w:left w:w="80" w:type="dxa"/>
              <w:bottom w:w="70" w:type="dxa"/>
              <w:right w:w="80" w:type="dxa"/>
            </w:tcMar>
            <w:vAlign w:val="center"/>
          </w:tcPr>
          <w:p w14:paraId="10B1770B" w14:textId="77777777" w:rsidR="00707C36" w:rsidRDefault="00EB2926">
            <w:pPr>
              <w:pStyle w:val="TableText"/>
            </w:pPr>
            <w:r>
              <w:t>Q</w:t>
            </w:r>
          </w:p>
        </w:tc>
        <w:tc>
          <w:tcPr>
            <w:tcW w:w="8568" w:type="dxa"/>
            <w:tcMar>
              <w:top w:w="70" w:type="dxa"/>
              <w:left w:w="80" w:type="dxa"/>
              <w:bottom w:w="70" w:type="dxa"/>
              <w:right w:w="80" w:type="dxa"/>
            </w:tcMar>
            <w:vAlign w:val="center"/>
          </w:tcPr>
          <w:p w14:paraId="03308856" w14:textId="77777777" w:rsidR="00707C36" w:rsidRDefault="00EB2926">
            <w:pPr>
              <w:pStyle w:val="TableText"/>
            </w:pPr>
            <w:r>
              <w:t>The visitor receives free admission.</w:t>
            </w:r>
          </w:p>
        </w:tc>
      </w:tr>
      <w:tr w:rsidR="00707C36" w14:paraId="3C046301" w14:textId="77777777" w:rsidTr="000B6927">
        <w:trPr>
          <w:cantSplit/>
          <w:jc w:val="center"/>
        </w:trPr>
        <w:tc>
          <w:tcPr>
            <w:tcW w:w="1728" w:type="dxa"/>
            <w:tcMar>
              <w:top w:w="70" w:type="dxa"/>
              <w:left w:w="80" w:type="dxa"/>
              <w:bottom w:w="70" w:type="dxa"/>
              <w:right w:w="80" w:type="dxa"/>
            </w:tcMar>
            <w:vAlign w:val="center"/>
          </w:tcPr>
          <w:p w14:paraId="0F4E7299" w14:textId="77777777" w:rsidR="00707C36" w:rsidRDefault="00EB2926">
            <w:pPr>
              <w:pStyle w:val="TableText"/>
            </w:pPr>
            <w:r>
              <w:t>P → Q</w:t>
            </w:r>
          </w:p>
        </w:tc>
        <w:tc>
          <w:tcPr>
            <w:tcW w:w="8568" w:type="dxa"/>
            <w:tcMar>
              <w:top w:w="70" w:type="dxa"/>
              <w:left w:w="80" w:type="dxa"/>
              <w:bottom w:w="70" w:type="dxa"/>
              <w:right w:w="80" w:type="dxa"/>
            </w:tcMar>
            <w:vAlign w:val="center"/>
          </w:tcPr>
          <w:p w14:paraId="4F8F001E" w14:textId="77777777" w:rsidR="00707C36" w:rsidRDefault="00EB2926">
            <w:pPr>
              <w:pStyle w:val="TableText"/>
            </w:pPr>
            <w:r>
              <w:t>If the visitor presents a voucher, then the visitor receives free admission.</w:t>
            </w:r>
          </w:p>
        </w:tc>
      </w:tr>
      <w:tr w:rsidR="00707C36" w14:paraId="2B348B12" w14:textId="77777777" w:rsidTr="000B6927">
        <w:trPr>
          <w:cantSplit/>
          <w:jc w:val="center"/>
        </w:trPr>
        <w:tc>
          <w:tcPr>
            <w:tcW w:w="1728" w:type="dxa"/>
            <w:tcMar>
              <w:top w:w="70" w:type="dxa"/>
              <w:left w:w="80" w:type="dxa"/>
              <w:bottom w:w="70" w:type="dxa"/>
              <w:right w:w="80" w:type="dxa"/>
            </w:tcMar>
            <w:vAlign w:val="center"/>
          </w:tcPr>
          <w:p w14:paraId="0F56EA9E" w14:textId="77777777" w:rsidR="00707C36" w:rsidRDefault="00EB2926">
            <w:pPr>
              <w:pStyle w:val="TableText"/>
            </w:pPr>
            <w:r>
              <w:t>not P</w:t>
            </w:r>
          </w:p>
        </w:tc>
        <w:tc>
          <w:tcPr>
            <w:tcW w:w="8568" w:type="dxa"/>
            <w:tcMar>
              <w:top w:w="70" w:type="dxa"/>
              <w:left w:w="80" w:type="dxa"/>
              <w:bottom w:w="70" w:type="dxa"/>
              <w:right w:w="80" w:type="dxa"/>
            </w:tcMar>
            <w:vAlign w:val="center"/>
          </w:tcPr>
          <w:p w14:paraId="14736D4B" w14:textId="77777777" w:rsidR="00707C36" w:rsidRDefault="00EB2926">
            <w:pPr>
              <w:pStyle w:val="TableText"/>
            </w:pPr>
            <w:r>
              <w:t>The visitor does not present a voucher.</w:t>
            </w:r>
          </w:p>
        </w:tc>
      </w:tr>
      <w:tr w:rsidR="00707C36" w14:paraId="24A517DD" w14:textId="77777777" w:rsidTr="000B6927">
        <w:trPr>
          <w:cantSplit/>
          <w:jc w:val="center"/>
        </w:trPr>
        <w:tc>
          <w:tcPr>
            <w:tcW w:w="1728" w:type="dxa"/>
            <w:tcMar>
              <w:top w:w="70" w:type="dxa"/>
              <w:left w:w="80" w:type="dxa"/>
              <w:bottom w:w="70" w:type="dxa"/>
              <w:right w:w="80" w:type="dxa"/>
            </w:tcMar>
            <w:vAlign w:val="center"/>
          </w:tcPr>
          <w:p w14:paraId="19C80D8E" w14:textId="77777777" w:rsidR="00707C36" w:rsidRDefault="00EB2926">
            <w:pPr>
              <w:pStyle w:val="TableText"/>
            </w:pPr>
            <w:r>
              <w:t>not Q</w:t>
            </w:r>
          </w:p>
        </w:tc>
        <w:tc>
          <w:tcPr>
            <w:tcW w:w="8568" w:type="dxa"/>
            <w:tcMar>
              <w:top w:w="70" w:type="dxa"/>
              <w:left w:w="80" w:type="dxa"/>
              <w:bottom w:w="70" w:type="dxa"/>
              <w:right w:w="80" w:type="dxa"/>
            </w:tcMar>
            <w:vAlign w:val="center"/>
          </w:tcPr>
          <w:p w14:paraId="2ABCB629" w14:textId="77777777" w:rsidR="00707C36" w:rsidRDefault="00EB2926">
            <w:pPr>
              <w:pStyle w:val="TableText"/>
            </w:pPr>
            <w:r>
              <w:t>The visitor does not receive free admission.</w:t>
            </w:r>
          </w:p>
        </w:tc>
      </w:tr>
    </w:tbl>
    <w:p w14:paraId="3A2496D2" w14:textId="77777777" w:rsidR="000B6927" w:rsidRDefault="000B6927"/>
    <w:p w14:paraId="6C91525F" w14:textId="39778B37" w:rsidR="00707C36" w:rsidRDefault="00EB2926">
      <w:r>
        <w:t>The formal truth table records the same four cases: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936"/>
        <w:gridCol w:w="1296"/>
        <w:gridCol w:w="7128"/>
      </w:tblGrid>
      <w:tr w:rsidR="00707C36" w14:paraId="64B2CC90" w14:textId="77777777" w:rsidTr="000B6927">
        <w:trPr>
          <w:cantSplit/>
          <w:tblHeader/>
          <w:jc w:val="center"/>
        </w:trPr>
        <w:tc>
          <w:tcPr>
            <w:tcW w:w="936" w:type="dxa"/>
            <w:shd w:val="clear" w:color="auto" w:fill="E7E7E7"/>
            <w:tcMar>
              <w:top w:w="70" w:type="dxa"/>
              <w:left w:w="80" w:type="dxa"/>
              <w:bottom w:w="70" w:type="dxa"/>
              <w:right w:w="80" w:type="dxa"/>
            </w:tcMar>
            <w:vAlign w:val="center"/>
          </w:tcPr>
          <w:p w14:paraId="1E120598" w14:textId="77777777" w:rsidR="00707C36" w:rsidRDefault="00EB2926">
            <w:pPr>
              <w:pStyle w:val="TableText"/>
              <w:jc w:val="center"/>
            </w:pPr>
            <w:r>
              <w:rPr>
                <w:b/>
              </w:rPr>
              <w:t>P</w:t>
            </w:r>
          </w:p>
        </w:tc>
        <w:tc>
          <w:tcPr>
            <w:tcW w:w="936" w:type="dxa"/>
            <w:shd w:val="clear" w:color="auto" w:fill="E7E7E7"/>
            <w:tcMar>
              <w:top w:w="70" w:type="dxa"/>
              <w:left w:w="80" w:type="dxa"/>
              <w:bottom w:w="70" w:type="dxa"/>
              <w:right w:w="80" w:type="dxa"/>
            </w:tcMar>
            <w:vAlign w:val="center"/>
          </w:tcPr>
          <w:p w14:paraId="346D4E18" w14:textId="77777777" w:rsidR="00707C36" w:rsidRDefault="00EB2926">
            <w:pPr>
              <w:pStyle w:val="TableText"/>
              <w:jc w:val="center"/>
            </w:pPr>
            <w:r>
              <w:rPr>
                <w:b/>
              </w:rPr>
              <w:t>Q</w:t>
            </w:r>
          </w:p>
        </w:tc>
        <w:tc>
          <w:tcPr>
            <w:tcW w:w="1296" w:type="dxa"/>
            <w:shd w:val="clear" w:color="auto" w:fill="E7E7E7"/>
            <w:tcMar>
              <w:top w:w="70" w:type="dxa"/>
              <w:left w:w="80" w:type="dxa"/>
              <w:bottom w:w="70" w:type="dxa"/>
              <w:right w:w="80" w:type="dxa"/>
            </w:tcMar>
            <w:vAlign w:val="center"/>
          </w:tcPr>
          <w:p w14:paraId="6059B932" w14:textId="77777777" w:rsidR="00707C36" w:rsidRDefault="00EB2926">
            <w:pPr>
              <w:pStyle w:val="TableText"/>
              <w:jc w:val="center"/>
            </w:pPr>
            <w:r>
              <w:rPr>
                <w:b/>
              </w:rPr>
              <w:t>P → Q</w:t>
            </w:r>
          </w:p>
        </w:tc>
        <w:tc>
          <w:tcPr>
            <w:tcW w:w="7128" w:type="dxa"/>
            <w:shd w:val="clear" w:color="auto" w:fill="E7E7E7"/>
            <w:tcMar>
              <w:top w:w="70" w:type="dxa"/>
              <w:left w:w="80" w:type="dxa"/>
              <w:bottom w:w="70" w:type="dxa"/>
              <w:right w:w="80" w:type="dxa"/>
            </w:tcMar>
            <w:vAlign w:val="center"/>
          </w:tcPr>
          <w:p w14:paraId="6D22A221" w14:textId="77777777" w:rsidR="00707C36" w:rsidRDefault="00EB2926">
            <w:pPr>
              <w:pStyle w:val="TableText"/>
            </w:pPr>
            <w:r>
              <w:rPr>
                <w:b/>
              </w:rPr>
              <w:t>Ordinary-language reading</w:t>
            </w:r>
          </w:p>
        </w:tc>
      </w:tr>
      <w:tr w:rsidR="00707C36" w14:paraId="092448E7" w14:textId="77777777" w:rsidTr="000B6927">
        <w:trPr>
          <w:cantSplit/>
          <w:jc w:val="center"/>
        </w:trPr>
        <w:tc>
          <w:tcPr>
            <w:tcW w:w="936" w:type="dxa"/>
            <w:tcMar>
              <w:top w:w="70" w:type="dxa"/>
              <w:left w:w="80" w:type="dxa"/>
              <w:bottom w:w="70" w:type="dxa"/>
              <w:right w:w="80" w:type="dxa"/>
            </w:tcMar>
            <w:vAlign w:val="center"/>
          </w:tcPr>
          <w:p w14:paraId="3A5EA4D4" w14:textId="77777777" w:rsidR="00707C36" w:rsidRDefault="00EB2926">
            <w:pPr>
              <w:pStyle w:val="TableText"/>
              <w:jc w:val="center"/>
            </w:pPr>
            <w:r>
              <w:t>T</w:t>
            </w:r>
          </w:p>
        </w:tc>
        <w:tc>
          <w:tcPr>
            <w:tcW w:w="936" w:type="dxa"/>
            <w:tcMar>
              <w:top w:w="70" w:type="dxa"/>
              <w:left w:w="80" w:type="dxa"/>
              <w:bottom w:w="70" w:type="dxa"/>
              <w:right w:w="80" w:type="dxa"/>
            </w:tcMar>
            <w:vAlign w:val="center"/>
          </w:tcPr>
          <w:p w14:paraId="5BE61DCC" w14:textId="77777777" w:rsidR="00707C36" w:rsidRDefault="00EB2926">
            <w:pPr>
              <w:pStyle w:val="TableText"/>
              <w:jc w:val="center"/>
            </w:pPr>
            <w:r>
              <w:t>T</w:t>
            </w:r>
          </w:p>
        </w:tc>
        <w:tc>
          <w:tcPr>
            <w:tcW w:w="1296" w:type="dxa"/>
            <w:tcMar>
              <w:top w:w="70" w:type="dxa"/>
              <w:left w:w="80" w:type="dxa"/>
              <w:bottom w:w="70" w:type="dxa"/>
              <w:right w:w="80" w:type="dxa"/>
            </w:tcMar>
            <w:vAlign w:val="center"/>
          </w:tcPr>
          <w:p w14:paraId="26121193" w14:textId="77777777" w:rsidR="00707C36" w:rsidRDefault="00EB2926">
            <w:pPr>
              <w:pStyle w:val="TableText"/>
              <w:jc w:val="center"/>
            </w:pPr>
            <w:r>
              <w:t>T</w:t>
            </w:r>
          </w:p>
        </w:tc>
        <w:tc>
          <w:tcPr>
            <w:tcW w:w="7128" w:type="dxa"/>
            <w:tcMar>
              <w:top w:w="70" w:type="dxa"/>
              <w:left w:w="80" w:type="dxa"/>
              <w:bottom w:w="70" w:type="dxa"/>
              <w:right w:w="80" w:type="dxa"/>
            </w:tcMar>
            <w:vAlign w:val="center"/>
          </w:tcPr>
          <w:p w14:paraId="1E38EE8D" w14:textId="77777777" w:rsidR="00707C36" w:rsidRDefault="00EB2926">
            <w:pPr>
              <w:pStyle w:val="TableText"/>
            </w:pPr>
            <w:r>
              <w:t>P happens and Q happens: rule kept.</w:t>
            </w:r>
          </w:p>
        </w:tc>
      </w:tr>
      <w:tr w:rsidR="00707C36" w14:paraId="69E44AF6" w14:textId="77777777" w:rsidTr="000B6927">
        <w:trPr>
          <w:cantSplit/>
          <w:jc w:val="center"/>
        </w:trPr>
        <w:tc>
          <w:tcPr>
            <w:tcW w:w="936" w:type="dxa"/>
            <w:tcMar>
              <w:top w:w="70" w:type="dxa"/>
              <w:left w:w="80" w:type="dxa"/>
              <w:bottom w:w="70" w:type="dxa"/>
              <w:right w:w="80" w:type="dxa"/>
            </w:tcMar>
            <w:vAlign w:val="center"/>
          </w:tcPr>
          <w:p w14:paraId="500D89CD" w14:textId="77777777" w:rsidR="00707C36" w:rsidRDefault="00EB2926">
            <w:pPr>
              <w:pStyle w:val="TableText"/>
              <w:jc w:val="center"/>
            </w:pPr>
            <w:r>
              <w:t>T</w:t>
            </w:r>
          </w:p>
        </w:tc>
        <w:tc>
          <w:tcPr>
            <w:tcW w:w="936" w:type="dxa"/>
            <w:tcMar>
              <w:top w:w="70" w:type="dxa"/>
              <w:left w:w="80" w:type="dxa"/>
              <w:bottom w:w="70" w:type="dxa"/>
              <w:right w:w="80" w:type="dxa"/>
            </w:tcMar>
            <w:vAlign w:val="center"/>
          </w:tcPr>
          <w:p w14:paraId="326C6D0B" w14:textId="77777777" w:rsidR="00707C36" w:rsidRDefault="00EB2926">
            <w:pPr>
              <w:pStyle w:val="TableText"/>
              <w:jc w:val="center"/>
            </w:pPr>
            <w:r>
              <w:t>F</w:t>
            </w:r>
          </w:p>
        </w:tc>
        <w:tc>
          <w:tcPr>
            <w:tcW w:w="1296" w:type="dxa"/>
            <w:tcMar>
              <w:top w:w="70" w:type="dxa"/>
              <w:left w:w="80" w:type="dxa"/>
              <w:bottom w:w="70" w:type="dxa"/>
              <w:right w:w="80" w:type="dxa"/>
            </w:tcMar>
            <w:vAlign w:val="center"/>
          </w:tcPr>
          <w:p w14:paraId="04A0043C" w14:textId="77777777" w:rsidR="00707C36" w:rsidRDefault="00EB2926">
            <w:pPr>
              <w:pStyle w:val="TableText"/>
              <w:jc w:val="center"/>
            </w:pPr>
            <w:r>
              <w:t>F</w:t>
            </w:r>
          </w:p>
        </w:tc>
        <w:tc>
          <w:tcPr>
            <w:tcW w:w="7128" w:type="dxa"/>
            <w:tcMar>
              <w:top w:w="70" w:type="dxa"/>
              <w:left w:w="80" w:type="dxa"/>
              <w:bottom w:w="70" w:type="dxa"/>
              <w:right w:w="80" w:type="dxa"/>
            </w:tcMar>
            <w:vAlign w:val="center"/>
          </w:tcPr>
          <w:p w14:paraId="09CF1EFB" w14:textId="77777777" w:rsidR="00707C36" w:rsidRDefault="00EB2926">
            <w:pPr>
              <w:pStyle w:val="TableText"/>
            </w:pPr>
            <w:r>
              <w:t>P happens without Q: rule broken.</w:t>
            </w:r>
          </w:p>
        </w:tc>
      </w:tr>
      <w:tr w:rsidR="00707C36" w14:paraId="31E57F1C" w14:textId="77777777" w:rsidTr="000B6927">
        <w:trPr>
          <w:cantSplit/>
          <w:jc w:val="center"/>
        </w:trPr>
        <w:tc>
          <w:tcPr>
            <w:tcW w:w="936" w:type="dxa"/>
            <w:tcMar>
              <w:top w:w="70" w:type="dxa"/>
              <w:left w:w="80" w:type="dxa"/>
              <w:bottom w:w="70" w:type="dxa"/>
              <w:right w:w="80" w:type="dxa"/>
            </w:tcMar>
            <w:vAlign w:val="center"/>
          </w:tcPr>
          <w:p w14:paraId="761CC004" w14:textId="77777777" w:rsidR="00707C36" w:rsidRDefault="00EB2926">
            <w:pPr>
              <w:pStyle w:val="TableText"/>
              <w:jc w:val="center"/>
            </w:pPr>
            <w:r>
              <w:t>F</w:t>
            </w:r>
          </w:p>
        </w:tc>
        <w:tc>
          <w:tcPr>
            <w:tcW w:w="936" w:type="dxa"/>
            <w:tcMar>
              <w:top w:w="70" w:type="dxa"/>
              <w:left w:w="80" w:type="dxa"/>
              <w:bottom w:w="70" w:type="dxa"/>
              <w:right w:w="80" w:type="dxa"/>
            </w:tcMar>
            <w:vAlign w:val="center"/>
          </w:tcPr>
          <w:p w14:paraId="47FF54EF" w14:textId="77777777" w:rsidR="00707C36" w:rsidRDefault="00EB2926">
            <w:pPr>
              <w:pStyle w:val="TableText"/>
              <w:jc w:val="center"/>
            </w:pPr>
            <w:r>
              <w:t>T</w:t>
            </w:r>
          </w:p>
        </w:tc>
        <w:tc>
          <w:tcPr>
            <w:tcW w:w="1296" w:type="dxa"/>
            <w:tcMar>
              <w:top w:w="70" w:type="dxa"/>
              <w:left w:w="80" w:type="dxa"/>
              <w:bottom w:w="70" w:type="dxa"/>
              <w:right w:w="80" w:type="dxa"/>
            </w:tcMar>
            <w:vAlign w:val="center"/>
          </w:tcPr>
          <w:p w14:paraId="296A3BDA" w14:textId="77777777" w:rsidR="00707C36" w:rsidRDefault="00EB2926">
            <w:pPr>
              <w:pStyle w:val="TableText"/>
              <w:jc w:val="center"/>
            </w:pPr>
            <w:r>
              <w:t>T</w:t>
            </w:r>
          </w:p>
        </w:tc>
        <w:tc>
          <w:tcPr>
            <w:tcW w:w="7128" w:type="dxa"/>
            <w:tcMar>
              <w:top w:w="70" w:type="dxa"/>
              <w:left w:w="80" w:type="dxa"/>
              <w:bottom w:w="70" w:type="dxa"/>
              <w:right w:w="80" w:type="dxa"/>
            </w:tcMar>
            <w:vAlign w:val="center"/>
          </w:tcPr>
          <w:p w14:paraId="6B86EAAA" w14:textId="77777777" w:rsidR="00707C36" w:rsidRDefault="00EB2926">
            <w:pPr>
              <w:pStyle w:val="TableText"/>
            </w:pPr>
            <w:r>
              <w:t>Q happens without P: rule not broken.</w:t>
            </w:r>
          </w:p>
        </w:tc>
      </w:tr>
      <w:tr w:rsidR="00707C36" w14:paraId="34743130" w14:textId="77777777" w:rsidTr="000B6927">
        <w:trPr>
          <w:cantSplit/>
          <w:jc w:val="center"/>
        </w:trPr>
        <w:tc>
          <w:tcPr>
            <w:tcW w:w="936" w:type="dxa"/>
            <w:tcMar>
              <w:top w:w="70" w:type="dxa"/>
              <w:left w:w="80" w:type="dxa"/>
              <w:bottom w:w="70" w:type="dxa"/>
              <w:right w:w="80" w:type="dxa"/>
            </w:tcMar>
            <w:vAlign w:val="center"/>
          </w:tcPr>
          <w:p w14:paraId="4C4A18AF" w14:textId="77777777" w:rsidR="00707C36" w:rsidRDefault="00EB2926">
            <w:pPr>
              <w:pStyle w:val="TableText"/>
              <w:jc w:val="center"/>
            </w:pPr>
            <w:r>
              <w:t>F</w:t>
            </w:r>
          </w:p>
        </w:tc>
        <w:tc>
          <w:tcPr>
            <w:tcW w:w="936" w:type="dxa"/>
            <w:tcMar>
              <w:top w:w="70" w:type="dxa"/>
              <w:left w:w="80" w:type="dxa"/>
              <w:bottom w:w="70" w:type="dxa"/>
              <w:right w:w="80" w:type="dxa"/>
            </w:tcMar>
            <w:vAlign w:val="center"/>
          </w:tcPr>
          <w:p w14:paraId="51A1BE4D" w14:textId="77777777" w:rsidR="00707C36" w:rsidRDefault="00EB2926">
            <w:pPr>
              <w:pStyle w:val="TableText"/>
              <w:jc w:val="center"/>
            </w:pPr>
            <w:r>
              <w:t>F</w:t>
            </w:r>
          </w:p>
        </w:tc>
        <w:tc>
          <w:tcPr>
            <w:tcW w:w="1296" w:type="dxa"/>
            <w:tcMar>
              <w:top w:w="70" w:type="dxa"/>
              <w:left w:w="80" w:type="dxa"/>
              <w:bottom w:w="70" w:type="dxa"/>
              <w:right w:w="80" w:type="dxa"/>
            </w:tcMar>
            <w:vAlign w:val="center"/>
          </w:tcPr>
          <w:p w14:paraId="450E69D0" w14:textId="77777777" w:rsidR="00707C36" w:rsidRDefault="00EB2926">
            <w:pPr>
              <w:pStyle w:val="TableText"/>
              <w:jc w:val="center"/>
            </w:pPr>
            <w:r>
              <w:t>T</w:t>
            </w:r>
          </w:p>
        </w:tc>
        <w:tc>
          <w:tcPr>
            <w:tcW w:w="7128" w:type="dxa"/>
            <w:tcMar>
              <w:top w:w="70" w:type="dxa"/>
              <w:left w:w="80" w:type="dxa"/>
              <w:bottom w:w="70" w:type="dxa"/>
              <w:right w:w="80" w:type="dxa"/>
            </w:tcMar>
            <w:vAlign w:val="center"/>
          </w:tcPr>
          <w:p w14:paraId="54FE223C" w14:textId="77777777" w:rsidR="00707C36" w:rsidRDefault="00EB2926">
            <w:pPr>
              <w:pStyle w:val="TableText"/>
            </w:pPr>
            <w:r>
              <w:t>Neither happens: rule not broken.</w:t>
            </w:r>
          </w:p>
        </w:tc>
      </w:tr>
    </w:tbl>
    <w:p w14:paraId="688FCCA9" w14:textId="77777777" w:rsidR="00707C36" w:rsidRDefault="00EB2926">
      <w:pPr>
        <w:pStyle w:val="Callout"/>
      </w:pPr>
      <w:r>
        <w:rPr>
          <w:b/>
        </w:rPr>
        <w:lastRenderedPageBreak/>
        <w:t>The one row that matters most</w:t>
      </w:r>
      <w:r>
        <w:br/>
        <w:t>P → Q is false only when P is true and Q is false. Accepting the conditional means ruling out P without Q.</w:t>
      </w:r>
    </w:p>
    <w:p w14:paraId="6FAB6182" w14:textId="77777777" w:rsidR="00707C36" w:rsidRDefault="00EB2926">
      <w:pPr>
        <w:pStyle w:val="Heading2"/>
      </w:pPr>
      <w:r>
        <w:t>Why the last two rows count as true</w:t>
      </w:r>
    </w:p>
    <w:p w14:paraId="1CC8AA92" w14:textId="77777777" w:rsidR="00707C36" w:rsidRDefault="00EB2926">
      <w:r>
        <w:t>Students often look at a row where P is false and think, “Then the whole if-then statement must be false.” But the rule did not say P happened. It told us what must happen if P happens. If P never happens, we do not get the forbidden combination P-without-Q.</w:t>
      </w:r>
    </w:p>
    <w:p w14:paraId="59445DB5" w14:textId="77777777" w:rsidR="00707C36" w:rsidRDefault="00EB2926">
      <w:r>
        <w:t>Think back to the voucher promise. If you show up without a voucher and I admit you free anyway, I have not broken my promise to voucher holders. If you show up without a voucher and I charge you, I still have not broken that promise. In both cases, the “if” condition was not met, so that particular promise was not violated.</w:t>
      </w:r>
    </w:p>
    <w:p w14:paraId="2ECBCB36" w14:textId="77777777" w:rsidR="00707C36" w:rsidRDefault="00EB2926">
      <w:r>
        <w:t>In the truth table, “true” in those rows means the conditional is not contradicted by that combination. It does not mean that the row is likely, that it is the actual situation, or that we know which row occurred.</w:t>
      </w:r>
    </w:p>
    <w:p w14:paraId="6F63F051" w14:textId="77777777" w:rsidR="00850958" w:rsidRDefault="00850958"/>
    <w:p w14:paraId="5B3FA404" w14:textId="77777777" w:rsidR="00707C36" w:rsidRDefault="00EB2926">
      <w:pPr>
        <w:pStyle w:val="Exercise"/>
      </w:pPr>
      <w:r>
        <w:rPr>
          <w:b/>
        </w:rPr>
        <w:t xml:space="preserve">A1. </w:t>
      </w:r>
      <w:r>
        <w:t>Rule: “If a submitted file is encrypted, it is marked with a lock icon.” Describe the one combination that would violate the rule.</w:t>
      </w:r>
    </w:p>
    <w:p w14:paraId="33841FA5" w14:textId="77777777" w:rsidR="00707C36" w:rsidRDefault="00707C36">
      <w:pPr>
        <w:pStyle w:val="AnswerSpace"/>
      </w:pPr>
    </w:p>
    <w:p w14:paraId="7C0BFA10" w14:textId="77777777" w:rsidR="00850958" w:rsidRDefault="00850958">
      <w:pPr>
        <w:pStyle w:val="AnswerSpace"/>
      </w:pPr>
    </w:p>
    <w:p w14:paraId="6EBECFE2" w14:textId="77777777" w:rsidR="00707C36" w:rsidRDefault="00EB2926">
      <w:pPr>
        <w:pStyle w:val="Exercise"/>
      </w:pPr>
      <w:r>
        <w:rPr>
          <w:b/>
        </w:rPr>
        <w:t xml:space="preserve">A2. </w:t>
      </w:r>
      <w:r>
        <w:t>Under the same rule, could a file have a lock icon without being encrypted? Explain why the rule does or does not rule that case out.</w:t>
      </w:r>
    </w:p>
    <w:p w14:paraId="293A143A" w14:textId="77777777" w:rsidR="00707C36" w:rsidRDefault="00707C36">
      <w:pPr>
        <w:pStyle w:val="AnswerSpace"/>
      </w:pPr>
    </w:p>
    <w:p w14:paraId="7A447479" w14:textId="77777777" w:rsidR="00850958" w:rsidRDefault="00850958">
      <w:pPr>
        <w:pStyle w:val="AnswerSpace"/>
      </w:pPr>
    </w:p>
    <w:p w14:paraId="3426CA1D" w14:textId="77777777" w:rsidR="00707C36" w:rsidRDefault="00EB2926">
      <w:pPr>
        <w:pStyle w:val="Heading1"/>
      </w:pPr>
      <w:r>
        <w:t>III. “Enough” and “Required” Come From the Same Rule</w:t>
      </w:r>
    </w:p>
    <w:p w14:paraId="4F249A98" w14:textId="77777777" w:rsidR="00707C36" w:rsidRDefault="00EB2926">
      <w:r>
        <w:t>The words sufficient and necessary often sound harder than the idea. We will start with the ordinary words enough and required.</w:t>
      </w:r>
    </w:p>
    <w:p w14:paraId="4A4B8DD0" w14:textId="77777777" w:rsidR="00707C36" w:rsidRDefault="00EB2926">
      <w:r>
        <w:t>Suppose a university has this stipulated rule:</w:t>
      </w:r>
    </w:p>
    <w:p w14:paraId="4F8C412C" w14:textId="77777777" w:rsidR="00707C36" w:rsidRDefault="00EB2926">
      <w:pPr>
        <w:pStyle w:val="Case"/>
      </w:pPr>
      <w:r>
        <w:t>“If someone is a department chair, that person has budget-system access.”</w:t>
      </w:r>
    </w:p>
    <w:p w14:paraId="52AD224E" w14:textId="77777777" w:rsidR="00707C36" w:rsidRDefault="00EB2926">
      <w:r>
        <w:t>The rule is chair → access. The forbidden case is a chair without access.</w:t>
      </w:r>
    </w:p>
    <w:p w14:paraId="5709E4B3" w14:textId="77777777" w:rsidR="00707C36" w:rsidRDefault="00EB2926">
      <w:r>
        <w:t>Now look at that same fact from two directions: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2"/>
        <w:gridCol w:w="4824"/>
        <w:gridCol w:w="2664"/>
      </w:tblGrid>
      <w:tr w:rsidR="00707C36" w14:paraId="2CBB9605" w14:textId="77777777" w:rsidTr="00850958">
        <w:trPr>
          <w:cantSplit/>
          <w:tblHeader/>
          <w:jc w:val="center"/>
        </w:trPr>
        <w:tc>
          <w:tcPr>
            <w:tcW w:w="2952" w:type="dxa"/>
            <w:shd w:val="clear" w:color="auto" w:fill="E7E7E7"/>
            <w:tcMar>
              <w:top w:w="70" w:type="dxa"/>
              <w:left w:w="80" w:type="dxa"/>
              <w:bottom w:w="70" w:type="dxa"/>
              <w:right w:w="80" w:type="dxa"/>
            </w:tcMar>
            <w:vAlign w:val="center"/>
          </w:tcPr>
          <w:p w14:paraId="3197831E" w14:textId="77777777" w:rsidR="00707C36" w:rsidRDefault="00EB2926">
            <w:pPr>
              <w:pStyle w:val="TableText"/>
            </w:pPr>
            <w:r>
              <w:rPr>
                <w:b/>
              </w:rPr>
              <w:t>Ordinary-language idea</w:t>
            </w:r>
          </w:p>
        </w:tc>
        <w:tc>
          <w:tcPr>
            <w:tcW w:w="4824" w:type="dxa"/>
            <w:shd w:val="clear" w:color="auto" w:fill="E7E7E7"/>
            <w:tcMar>
              <w:top w:w="70" w:type="dxa"/>
              <w:left w:w="80" w:type="dxa"/>
              <w:bottom w:w="70" w:type="dxa"/>
              <w:right w:w="80" w:type="dxa"/>
            </w:tcMar>
            <w:vAlign w:val="center"/>
          </w:tcPr>
          <w:p w14:paraId="1C8DD271" w14:textId="77777777" w:rsidR="00707C36" w:rsidRDefault="00EB2926">
            <w:pPr>
              <w:pStyle w:val="TableText"/>
            </w:pPr>
            <w:r>
              <w:rPr>
                <w:b/>
              </w:rPr>
              <w:t>What it means</w:t>
            </w:r>
          </w:p>
        </w:tc>
        <w:tc>
          <w:tcPr>
            <w:tcW w:w="2664" w:type="dxa"/>
            <w:shd w:val="clear" w:color="auto" w:fill="E7E7E7"/>
            <w:tcMar>
              <w:top w:w="70" w:type="dxa"/>
              <w:left w:w="80" w:type="dxa"/>
              <w:bottom w:w="70" w:type="dxa"/>
              <w:right w:w="80" w:type="dxa"/>
            </w:tcMar>
            <w:vAlign w:val="center"/>
          </w:tcPr>
          <w:p w14:paraId="07CF09E7" w14:textId="77777777" w:rsidR="00707C36" w:rsidRDefault="00EB2926">
            <w:pPr>
              <w:pStyle w:val="TableText"/>
            </w:pPr>
            <w:r>
              <w:rPr>
                <w:b/>
              </w:rPr>
              <w:t>Formal term</w:t>
            </w:r>
          </w:p>
        </w:tc>
      </w:tr>
      <w:tr w:rsidR="00707C36" w14:paraId="74F88562" w14:textId="77777777" w:rsidTr="00850958">
        <w:trPr>
          <w:cantSplit/>
          <w:jc w:val="center"/>
        </w:trPr>
        <w:tc>
          <w:tcPr>
            <w:tcW w:w="2952" w:type="dxa"/>
            <w:tcMar>
              <w:top w:w="70" w:type="dxa"/>
              <w:left w:w="80" w:type="dxa"/>
              <w:bottom w:w="70" w:type="dxa"/>
              <w:right w:w="80" w:type="dxa"/>
            </w:tcMar>
            <w:vAlign w:val="center"/>
          </w:tcPr>
          <w:p w14:paraId="33771303" w14:textId="77777777" w:rsidR="00707C36" w:rsidRDefault="00EB2926">
            <w:pPr>
              <w:pStyle w:val="TableText"/>
            </w:pPr>
            <w:r>
              <w:t>Being a chair is enough for access.</w:t>
            </w:r>
          </w:p>
        </w:tc>
        <w:tc>
          <w:tcPr>
            <w:tcW w:w="4824" w:type="dxa"/>
            <w:tcMar>
              <w:top w:w="70" w:type="dxa"/>
              <w:left w:w="80" w:type="dxa"/>
              <w:bottom w:w="70" w:type="dxa"/>
              <w:right w:w="80" w:type="dxa"/>
            </w:tcMar>
            <w:vAlign w:val="center"/>
          </w:tcPr>
          <w:p w14:paraId="7A2121B8" w14:textId="77777777" w:rsidR="00707C36" w:rsidRDefault="00EB2926">
            <w:pPr>
              <w:pStyle w:val="TableText"/>
            </w:pPr>
            <w:r>
              <w:t>Once we know someone is a chair, the rule guarantees access.</w:t>
            </w:r>
          </w:p>
        </w:tc>
        <w:tc>
          <w:tcPr>
            <w:tcW w:w="2664" w:type="dxa"/>
            <w:tcMar>
              <w:top w:w="70" w:type="dxa"/>
              <w:left w:w="80" w:type="dxa"/>
              <w:bottom w:w="70" w:type="dxa"/>
              <w:right w:w="80" w:type="dxa"/>
            </w:tcMar>
            <w:vAlign w:val="center"/>
          </w:tcPr>
          <w:p w14:paraId="6417828F" w14:textId="77777777" w:rsidR="00707C36" w:rsidRDefault="00EB2926">
            <w:pPr>
              <w:pStyle w:val="TableText"/>
            </w:pPr>
            <w:r>
              <w:t xml:space="preserve">Chair status is </w:t>
            </w:r>
            <w:r w:rsidRPr="00850958">
              <w:rPr>
                <w:b/>
                <w:bCs/>
              </w:rPr>
              <w:t>sufficient</w:t>
            </w:r>
            <w:r>
              <w:t xml:space="preserve"> for access.</w:t>
            </w:r>
          </w:p>
        </w:tc>
      </w:tr>
      <w:tr w:rsidR="00707C36" w14:paraId="44669FFA" w14:textId="77777777" w:rsidTr="00850958">
        <w:trPr>
          <w:cantSplit/>
          <w:jc w:val="center"/>
        </w:trPr>
        <w:tc>
          <w:tcPr>
            <w:tcW w:w="2952" w:type="dxa"/>
            <w:tcMar>
              <w:top w:w="70" w:type="dxa"/>
              <w:left w:w="80" w:type="dxa"/>
              <w:bottom w:w="70" w:type="dxa"/>
              <w:right w:w="80" w:type="dxa"/>
            </w:tcMar>
            <w:vAlign w:val="center"/>
          </w:tcPr>
          <w:p w14:paraId="7D21EDD8" w14:textId="77777777" w:rsidR="00707C36" w:rsidRDefault="00EB2926">
            <w:pPr>
              <w:pStyle w:val="TableText"/>
            </w:pPr>
            <w:r>
              <w:t>Access is required for being a chair.</w:t>
            </w:r>
          </w:p>
        </w:tc>
        <w:tc>
          <w:tcPr>
            <w:tcW w:w="4824" w:type="dxa"/>
            <w:tcMar>
              <w:top w:w="70" w:type="dxa"/>
              <w:left w:w="80" w:type="dxa"/>
              <w:bottom w:w="70" w:type="dxa"/>
              <w:right w:w="80" w:type="dxa"/>
            </w:tcMar>
            <w:vAlign w:val="center"/>
          </w:tcPr>
          <w:p w14:paraId="19AE7161" w14:textId="77777777" w:rsidR="00707C36" w:rsidRDefault="00EB2926">
            <w:pPr>
              <w:pStyle w:val="TableText"/>
            </w:pPr>
            <w:r>
              <w:t>The rule does not allow a chair who lacks access.</w:t>
            </w:r>
          </w:p>
        </w:tc>
        <w:tc>
          <w:tcPr>
            <w:tcW w:w="2664" w:type="dxa"/>
            <w:tcMar>
              <w:top w:w="70" w:type="dxa"/>
              <w:left w:w="80" w:type="dxa"/>
              <w:bottom w:w="70" w:type="dxa"/>
              <w:right w:w="80" w:type="dxa"/>
            </w:tcMar>
            <w:vAlign w:val="center"/>
          </w:tcPr>
          <w:p w14:paraId="54405E18" w14:textId="77777777" w:rsidR="00707C36" w:rsidRDefault="00EB2926">
            <w:pPr>
              <w:pStyle w:val="TableText"/>
            </w:pPr>
            <w:r>
              <w:t xml:space="preserve">Access is </w:t>
            </w:r>
            <w:r w:rsidRPr="00850958">
              <w:rPr>
                <w:b/>
                <w:bCs/>
              </w:rPr>
              <w:t>necessary</w:t>
            </w:r>
            <w:r>
              <w:t xml:space="preserve"> for chair status.</w:t>
            </w:r>
          </w:p>
        </w:tc>
      </w:tr>
    </w:tbl>
    <w:p w14:paraId="30140AD2" w14:textId="02005A0E" w:rsidR="00707C36" w:rsidRDefault="00EB2926">
      <w:r>
        <w:lastRenderedPageBreak/>
        <w:t>These are not two different rules</w:t>
      </w:r>
      <w:r w:rsidR="00850958">
        <w:t>; t</w:t>
      </w:r>
      <w:r>
        <w:t xml:space="preserve">hey are two ways of describing the </w:t>
      </w:r>
      <w:r w:rsidRPr="00850958">
        <w:rPr>
          <w:i/>
          <w:iCs/>
        </w:rPr>
        <w:t>same</w:t>
      </w:r>
      <w:r>
        <w:t xml:space="preserve"> rule. Chair → access means chair is sufficient for access, and access is necessary for chair status.</w:t>
      </w:r>
    </w:p>
    <w:p w14:paraId="0BEFDB55" w14:textId="77777777" w:rsidR="00707C36" w:rsidRDefault="00EB2926">
      <w:pPr>
        <w:pStyle w:val="Callout"/>
      </w:pPr>
      <w:r>
        <w:rPr>
          <w:b/>
        </w:rPr>
        <w:t>Translation to remember</w:t>
      </w:r>
      <w:r>
        <w:br/>
      </w:r>
      <w:r>
        <w:t>If P, then Q means: P is sufficient for Q, and Q is necessary for P. Both claims come from the fact that P without Q is ruled out.</w:t>
      </w:r>
    </w:p>
    <w:p w14:paraId="0BBDF278" w14:textId="6CF0710E" w:rsidR="00707C36" w:rsidRDefault="00EB2926">
      <w:r>
        <w:t>Notice what the rule does not say. It does not say access is sufficient for chair status. Someone else</w:t>
      </w:r>
      <w:r w:rsidR="00850958">
        <w:t>—</w:t>
      </w:r>
      <w:r>
        <w:t>a</w:t>
      </w:r>
      <w:r>
        <w:t xml:space="preserve"> budget analyst, dean, or finance employee</w:t>
      </w:r>
      <w:r w:rsidR="00850958">
        <w:t>—</w:t>
      </w:r>
      <w:r>
        <w:t>might</w:t>
      </w:r>
      <w:r>
        <w:t xml:space="preserve"> also have access. It also does not say chair status is necessary for access. The rule has not told us that chair status is the only route.</w:t>
      </w:r>
    </w:p>
    <w:p w14:paraId="110BADFA" w14:textId="77777777" w:rsidR="00707C36" w:rsidRDefault="00EB2926">
      <w:r>
        <w:t>Also be careful with ordinary English. Here, necessary means required. It does not mean “very important.” Sufficient means enough. It does not mean “helpful,” “relevant,” or “good evidence.”</w:t>
      </w:r>
    </w:p>
    <w:p w14:paraId="081E1522" w14:textId="77777777" w:rsidR="00707C36" w:rsidRDefault="00EB2926">
      <w:pPr>
        <w:pStyle w:val="Exercise"/>
      </w:pPr>
      <w:r>
        <w:rPr>
          <w:b/>
        </w:rPr>
        <w:t xml:space="preserve">B1. </w:t>
      </w:r>
      <w:r>
        <w:t>Rule: “If an account is premium, it has download access.” What is sufficient for what? What is necessary for what?</w:t>
      </w:r>
    </w:p>
    <w:p w14:paraId="051D6D81" w14:textId="77777777" w:rsidR="00707C36" w:rsidRDefault="00707C36">
      <w:pPr>
        <w:pStyle w:val="AnswerSpace"/>
      </w:pPr>
    </w:p>
    <w:p w14:paraId="29BBE185" w14:textId="77777777" w:rsidR="00850958" w:rsidRDefault="00850958">
      <w:pPr>
        <w:pStyle w:val="AnswerSpace"/>
      </w:pPr>
    </w:p>
    <w:p w14:paraId="54FEB186" w14:textId="77777777" w:rsidR="00707C36" w:rsidRDefault="00EB2926">
      <w:pPr>
        <w:pStyle w:val="Exercise"/>
      </w:pPr>
      <w:r>
        <w:rPr>
          <w:b/>
        </w:rPr>
        <w:t xml:space="preserve">B2. </w:t>
      </w:r>
      <w:r>
        <w:t>A policy says an application cannot be approved without a signature. Is a signature necessary for approval, sufficient for approval, or both? Explain.</w:t>
      </w:r>
    </w:p>
    <w:p w14:paraId="49ED3C58" w14:textId="77777777" w:rsidR="00707C36" w:rsidRDefault="00707C36">
      <w:pPr>
        <w:pStyle w:val="AnswerSpace"/>
      </w:pPr>
    </w:p>
    <w:p w14:paraId="2A1E7A4B" w14:textId="77777777" w:rsidR="00850958" w:rsidRDefault="00850958">
      <w:pPr>
        <w:pStyle w:val="AnswerSpace"/>
      </w:pPr>
    </w:p>
    <w:p w14:paraId="2D30CD91" w14:textId="77777777" w:rsidR="00707C36" w:rsidRDefault="00EB2926">
      <w:pPr>
        <w:pStyle w:val="Heading1"/>
      </w:pPr>
      <w:r>
        <w:t>IV. Four Moves From One If-Then Rule</w:t>
      </w:r>
    </w:p>
    <w:p w14:paraId="444B0619" w14:textId="77777777" w:rsidR="00707C36" w:rsidRDefault="00EB2926">
      <w:r>
        <w:t>Once a rule is given, the next question is what we are allowed to conclude when we learn one more fact. The chair rule lets us see all four possibilities.</w:t>
      </w:r>
    </w:p>
    <w:p w14:paraId="0D35BF6F" w14:textId="77777777" w:rsidR="00707C36" w:rsidRDefault="00EB2926">
      <w:pPr>
        <w:pStyle w:val="Case"/>
      </w:pPr>
      <w:r>
        <w:t>Rule: If someone is a department chair, that person has budget-system access.  (P → Q)</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2376"/>
        <w:gridCol w:w="5040"/>
      </w:tblGrid>
      <w:tr w:rsidR="00707C36" w14:paraId="68F08878" w14:textId="77777777" w:rsidTr="00850958">
        <w:trPr>
          <w:cantSplit/>
          <w:tblHeader/>
          <w:jc w:val="center"/>
        </w:trPr>
        <w:tc>
          <w:tcPr>
            <w:tcW w:w="3024" w:type="dxa"/>
            <w:shd w:val="clear" w:color="auto" w:fill="E7E7E7"/>
            <w:tcMar>
              <w:top w:w="70" w:type="dxa"/>
              <w:left w:w="80" w:type="dxa"/>
              <w:bottom w:w="70" w:type="dxa"/>
              <w:right w:w="80" w:type="dxa"/>
            </w:tcMar>
            <w:vAlign w:val="center"/>
          </w:tcPr>
          <w:p w14:paraId="61FDAA56" w14:textId="77777777" w:rsidR="00707C36" w:rsidRDefault="00EB2926">
            <w:pPr>
              <w:pStyle w:val="TableText"/>
            </w:pPr>
            <w:r>
              <w:rPr>
                <w:b/>
              </w:rPr>
              <w:t>We also know...</w:t>
            </w:r>
          </w:p>
        </w:tc>
        <w:tc>
          <w:tcPr>
            <w:tcW w:w="2376" w:type="dxa"/>
            <w:shd w:val="clear" w:color="auto" w:fill="E7E7E7"/>
            <w:tcMar>
              <w:top w:w="70" w:type="dxa"/>
              <w:left w:w="80" w:type="dxa"/>
              <w:bottom w:w="70" w:type="dxa"/>
              <w:right w:w="80" w:type="dxa"/>
            </w:tcMar>
            <w:vAlign w:val="center"/>
          </w:tcPr>
          <w:p w14:paraId="5B7C9B1A" w14:textId="77777777" w:rsidR="00707C36" w:rsidRDefault="00EB2926">
            <w:pPr>
              <w:pStyle w:val="TableText"/>
            </w:pPr>
            <w:r>
              <w:rPr>
                <w:b/>
              </w:rPr>
              <w:t>What follows?</w:t>
            </w:r>
          </w:p>
        </w:tc>
        <w:tc>
          <w:tcPr>
            <w:tcW w:w="5040" w:type="dxa"/>
            <w:shd w:val="clear" w:color="auto" w:fill="E7E7E7"/>
            <w:tcMar>
              <w:top w:w="70" w:type="dxa"/>
              <w:left w:w="80" w:type="dxa"/>
              <w:bottom w:w="70" w:type="dxa"/>
              <w:right w:w="80" w:type="dxa"/>
            </w:tcMar>
            <w:vAlign w:val="center"/>
          </w:tcPr>
          <w:p w14:paraId="565729EF" w14:textId="77777777" w:rsidR="00707C36" w:rsidRDefault="00EB2926">
            <w:pPr>
              <w:pStyle w:val="TableText"/>
            </w:pPr>
            <w:r>
              <w:rPr>
                <w:b/>
              </w:rPr>
              <w:t>Why</w:t>
            </w:r>
          </w:p>
        </w:tc>
      </w:tr>
      <w:tr w:rsidR="00707C36" w14:paraId="54791B02" w14:textId="77777777" w:rsidTr="00850958">
        <w:trPr>
          <w:cantSplit/>
          <w:jc w:val="center"/>
        </w:trPr>
        <w:tc>
          <w:tcPr>
            <w:tcW w:w="3024" w:type="dxa"/>
            <w:tcMar>
              <w:top w:w="70" w:type="dxa"/>
              <w:left w:w="80" w:type="dxa"/>
              <w:bottom w:w="70" w:type="dxa"/>
              <w:right w:w="80" w:type="dxa"/>
            </w:tcMar>
            <w:vAlign w:val="center"/>
          </w:tcPr>
          <w:p w14:paraId="6EB04AD8" w14:textId="77777777" w:rsidR="00707C36" w:rsidRDefault="00EB2926">
            <w:pPr>
              <w:pStyle w:val="TableText"/>
            </w:pPr>
            <w:r>
              <w:t>P: Elena is a chair.</w:t>
            </w:r>
          </w:p>
        </w:tc>
        <w:tc>
          <w:tcPr>
            <w:tcW w:w="2376" w:type="dxa"/>
            <w:tcMar>
              <w:top w:w="70" w:type="dxa"/>
              <w:left w:w="80" w:type="dxa"/>
              <w:bottom w:w="70" w:type="dxa"/>
              <w:right w:w="80" w:type="dxa"/>
            </w:tcMar>
            <w:vAlign w:val="center"/>
          </w:tcPr>
          <w:p w14:paraId="7C3425D8" w14:textId="77777777" w:rsidR="00707C36" w:rsidRDefault="00EB2926">
            <w:pPr>
              <w:pStyle w:val="TableText"/>
            </w:pPr>
            <w:r>
              <w:t>Q: Elena has access.</w:t>
            </w:r>
          </w:p>
        </w:tc>
        <w:tc>
          <w:tcPr>
            <w:tcW w:w="5040" w:type="dxa"/>
            <w:tcMar>
              <w:top w:w="70" w:type="dxa"/>
              <w:left w:w="80" w:type="dxa"/>
              <w:bottom w:w="70" w:type="dxa"/>
              <w:right w:w="80" w:type="dxa"/>
            </w:tcMar>
            <w:vAlign w:val="center"/>
          </w:tcPr>
          <w:p w14:paraId="779CC687" w14:textId="77777777" w:rsidR="00707C36" w:rsidRDefault="00EB2926">
            <w:pPr>
              <w:pStyle w:val="TableText"/>
            </w:pPr>
            <w:r>
              <w:t>A chair without access is the forbidden case.</w:t>
            </w:r>
          </w:p>
        </w:tc>
      </w:tr>
      <w:tr w:rsidR="00707C36" w14:paraId="1E23CC3A" w14:textId="77777777" w:rsidTr="00850958">
        <w:trPr>
          <w:cantSplit/>
          <w:jc w:val="center"/>
        </w:trPr>
        <w:tc>
          <w:tcPr>
            <w:tcW w:w="3024" w:type="dxa"/>
            <w:tcMar>
              <w:top w:w="70" w:type="dxa"/>
              <w:left w:w="80" w:type="dxa"/>
              <w:bottom w:w="70" w:type="dxa"/>
              <w:right w:w="80" w:type="dxa"/>
            </w:tcMar>
            <w:vAlign w:val="center"/>
          </w:tcPr>
          <w:p w14:paraId="450E0035" w14:textId="77777777" w:rsidR="00707C36" w:rsidRDefault="00EB2926">
            <w:pPr>
              <w:pStyle w:val="TableText"/>
            </w:pPr>
            <w:r>
              <w:t>not Q: Marcus lacks access.</w:t>
            </w:r>
          </w:p>
        </w:tc>
        <w:tc>
          <w:tcPr>
            <w:tcW w:w="2376" w:type="dxa"/>
            <w:tcMar>
              <w:top w:w="70" w:type="dxa"/>
              <w:left w:w="80" w:type="dxa"/>
              <w:bottom w:w="70" w:type="dxa"/>
              <w:right w:w="80" w:type="dxa"/>
            </w:tcMar>
            <w:vAlign w:val="center"/>
          </w:tcPr>
          <w:p w14:paraId="452ABAFC" w14:textId="77777777" w:rsidR="00707C36" w:rsidRDefault="00EB2926">
            <w:pPr>
              <w:pStyle w:val="TableText"/>
            </w:pPr>
            <w:r>
              <w:t>not P: Marcus is not a chair.</w:t>
            </w:r>
          </w:p>
        </w:tc>
        <w:tc>
          <w:tcPr>
            <w:tcW w:w="5040" w:type="dxa"/>
            <w:tcMar>
              <w:top w:w="70" w:type="dxa"/>
              <w:left w:w="80" w:type="dxa"/>
              <w:bottom w:w="70" w:type="dxa"/>
              <w:right w:w="80" w:type="dxa"/>
            </w:tcMar>
            <w:vAlign w:val="center"/>
          </w:tcPr>
          <w:p w14:paraId="13542533" w14:textId="77777777" w:rsidR="00707C36" w:rsidRDefault="00EB2926">
            <w:pPr>
              <w:pStyle w:val="TableText"/>
            </w:pPr>
            <w:r>
              <w:t>If Marcus were a chair, he would have the access he lacks.</w:t>
            </w:r>
          </w:p>
        </w:tc>
      </w:tr>
      <w:tr w:rsidR="00707C36" w14:paraId="770EFC74" w14:textId="77777777" w:rsidTr="00850958">
        <w:trPr>
          <w:cantSplit/>
          <w:jc w:val="center"/>
        </w:trPr>
        <w:tc>
          <w:tcPr>
            <w:tcW w:w="3024" w:type="dxa"/>
            <w:tcMar>
              <w:top w:w="70" w:type="dxa"/>
              <w:left w:w="80" w:type="dxa"/>
              <w:bottom w:w="70" w:type="dxa"/>
              <w:right w:w="80" w:type="dxa"/>
            </w:tcMar>
            <w:vAlign w:val="center"/>
          </w:tcPr>
          <w:p w14:paraId="5E5E9779" w14:textId="77777777" w:rsidR="00707C36" w:rsidRDefault="00EB2926">
            <w:pPr>
              <w:pStyle w:val="TableText"/>
            </w:pPr>
            <w:r>
              <w:t>Q: Dana has access.</w:t>
            </w:r>
          </w:p>
        </w:tc>
        <w:tc>
          <w:tcPr>
            <w:tcW w:w="2376" w:type="dxa"/>
            <w:tcMar>
              <w:top w:w="70" w:type="dxa"/>
              <w:left w:w="80" w:type="dxa"/>
              <w:bottom w:w="70" w:type="dxa"/>
              <w:right w:w="80" w:type="dxa"/>
            </w:tcMar>
            <w:vAlign w:val="center"/>
          </w:tcPr>
          <w:p w14:paraId="6DE5E4F4" w14:textId="77777777" w:rsidR="00707C36" w:rsidRDefault="00EB2926">
            <w:pPr>
              <w:pStyle w:val="TableText"/>
            </w:pPr>
            <w:r>
              <w:t>P remains open.</w:t>
            </w:r>
          </w:p>
        </w:tc>
        <w:tc>
          <w:tcPr>
            <w:tcW w:w="5040" w:type="dxa"/>
            <w:tcMar>
              <w:top w:w="70" w:type="dxa"/>
              <w:left w:w="80" w:type="dxa"/>
              <w:bottom w:w="70" w:type="dxa"/>
              <w:right w:w="80" w:type="dxa"/>
            </w:tcMar>
            <w:vAlign w:val="center"/>
          </w:tcPr>
          <w:p w14:paraId="278D6957" w14:textId="77777777" w:rsidR="00707C36" w:rsidRDefault="00EB2926">
            <w:pPr>
              <w:pStyle w:val="TableText"/>
            </w:pPr>
            <w:r>
              <w:t>Access could belong to a chair or to a non-chair.</w:t>
            </w:r>
          </w:p>
        </w:tc>
      </w:tr>
      <w:tr w:rsidR="00707C36" w14:paraId="0F464A83" w14:textId="77777777" w:rsidTr="00850958">
        <w:trPr>
          <w:cantSplit/>
          <w:jc w:val="center"/>
        </w:trPr>
        <w:tc>
          <w:tcPr>
            <w:tcW w:w="3024" w:type="dxa"/>
            <w:tcMar>
              <w:top w:w="70" w:type="dxa"/>
              <w:left w:w="80" w:type="dxa"/>
              <w:bottom w:w="70" w:type="dxa"/>
              <w:right w:w="80" w:type="dxa"/>
            </w:tcMar>
            <w:vAlign w:val="center"/>
          </w:tcPr>
          <w:p w14:paraId="14F7E3C8" w14:textId="77777777" w:rsidR="00707C36" w:rsidRDefault="00EB2926">
            <w:pPr>
              <w:pStyle w:val="TableText"/>
            </w:pPr>
            <w:r>
              <w:t>not P: Priya is not a chair.</w:t>
            </w:r>
          </w:p>
        </w:tc>
        <w:tc>
          <w:tcPr>
            <w:tcW w:w="2376" w:type="dxa"/>
            <w:tcMar>
              <w:top w:w="70" w:type="dxa"/>
              <w:left w:w="80" w:type="dxa"/>
              <w:bottom w:w="70" w:type="dxa"/>
              <w:right w:w="80" w:type="dxa"/>
            </w:tcMar>
            <w:vAlign w:val="center"/>
          </w:tcPr>
          <w:p w14:paraId="04EA2A08" w14:textId="77777777" w:rsidR="00707C36" w:rsidRDefault="00EB2926">
            <w:pPr>
              <w:pStyle w:val="TableText"/>
            </w:pPr>
            <w:r>
              <w:t>Q remains open.</w:t>
            </w:r>
          </w:p>
        </w:tc>
        <w:tc>
          <w:tcPr>
            <w:tcW w:w="5040" w:type="dxa"/>
            <w:tcMar>
              <w:top w:w="70" w:type="dxa"/>
              <w:left w:w="80" w:type="dxa"/>
              <w:bottom w:w="70" w:type="dxa"/>
              <w:right w:w="80" w:type="dxa"/>
            </w:tcMar>
            <w:vAlign w:val="center"/>
          </w:tcPr>
          <w:p w14:paraId="265B1521" w14:textId="77777777" w:rsidR="00707C36" w:rsidRDefault="00EB2926">
            <w:pPr>
              <w:pStyle w:val="TableText"/>
            </w:pPr>
            <w:r>
              <w:t>The rule never said non-chairs cannot have access.</w:t>
            </w:r>
          </w:p>
        </w:tc>
      </w:tr>
    </w:tbl>
    <w:p w14:paraId="1D3D4E0C" w14:textId="77777777" w:rsidR="00850958" w:rsidRDefault="00850958"/>
    <w:p w14:paraId="16A54DEC" w14:textId="6E46627D" w:rsidR="00707C36" w:rsidRDefault="00EB2926">
      <w:r>
        <w:t>The first two moves are valid. The second two are tempting, but the rule does not settle the conclusion.</w:t>
      </w:r>
    </w:p>
    <w:p w14:paraId="5EAB1167" w14:textId="77777777" w:rsidR="00707C36" w:rsidRDefault="00EB2926">
      <w:pPr>
        <w:pStyle w:val="Heading2"/>
      </w:pPr>
      <w:r>
        <w:lastRenderedPageBreak/>
        <w:t>1. Follow the guarantee</w:t>
      </w:r>
    </w:p>
    <w:p w14:paraId="63C77EDF" w14:textId="77777777" w:rsidR="00707C36" w:rsidRDefault="00EB2926">
      <w:pPr>
        <w:pStyle w:val="Case"/>
      </w:pPr>
      <w:r>
        <w:t>If someone is a department chair, that person has access. Elena is a chair. Therefore, Elena has access.</w:t>
      </w:r>
    </w:p>
    <w:p w14:paraId="775B24C6" w14:textId="023D2B6A" w:rsidR="00707C36" w:rsidRDefault="00EB2926">
      <w:r>
        <w:t xml:space="preserve">This simply uses the promise in the direction it was given. P → Q; P; therefore Q. The traditional name is </w:t>
      </w:r>
      <w:proofErr w:type="gramStart"/>
      <w:r>
        <w:t>modus ponens</w:t>
      </w:r>
      <w:proofErr w:type="gramEnd"/>
      <w:r w:rsidR="00850958">
        <w:t xml:space="preserve"> (which we have talked </w:t>
      </w:r>
      <w:proofErr w:type="gramStart"/>
      <w:r w:rsidR="00850958">
        <w:t>some about</w:t>
      </w:r>
      <w:proofErr w:type="gramEnd"/>
      <w:r w:rsidR="00850958">
        <w:t xml:space="preserve"> already).</w:t>
      </w:r>
    </w:p>
    <w:p w14:paraId="7E9EB21E" w14:textId="77777777" w:rsidR="00707C36" w:rsidRDefault="00EB2926">
      <w:pPr>
        <w:pStyle w:val="Heading2"/>
      </w:pPr>
      <w:r>
        <w:t>2. Use a missing requirement</w:t>
      </w:r>
    </w:p>
    <w:p w14:paraId="29242236" w14:textId="77777777" w:rsidR="00707C36" w:rsidRDefault="00EB2926">
      <w:pPr>
        <w:pStyle w:val="Case"/>
      </w:pPr>
      <w:r>
        <w:t>If someone is a department chair, that person has access. Marcus does not have access. Therefore, Marcus is not a chair.</w:t>
      </w:r>
    </w:p>
    <w:p w14:paraId="6A412816" w14:textId="77777777" w:rsidR="00707C36" w:rsidRDefault="00EB2926">
      <w:r>
        <w:t>Access is required for being a chair under the rule. Marcus lacks that requirement, so chair status is ruled out. P → Q; not Q; therefore not P. The traditional name is modus tollens.</w:t>
      </w:r>
    </w:p>
    <w:p w14:paraId="60ABD637" w14:textId="77777777" w:rsidR="00707C36" w:rsidRDefault="00EB2926">
      <w:r>
        <w:t>This is why “never reason backward” is bad advice. We did start with information about Q and learn something about P. The important difference is that we learned Q was absent. Missing something required can rule out what requires it.</w:t>
      </w:r>
    </w:p>
    <w:p w14:paraId="3B45F058" w14:textId="77777777" w:rsidR="00707C36" w:rsidRDefault="00EB2926">
      <w:pPr>
        <w:pStyle w:val="Heading2"/>
      </w:pPr>
      <w:r>
        <w:t>3. Seeing the result does not prove the trigger</w:t>
      </w:r>
    </w:p>
    <w:p w14:paraId="05223D2F" w14:textId="77777777" w:rsidR="00707C36" w:rsidRDefault="00EB2926">
      <w:pPr>
        <w:pStyle w:val="Case"/>
      </w:pPr>
      <w:r>
        <w:t>If someone is a department chair, that person has access. Dana has access. Therefore, Dana is a chair.</w:t>
      </w:r>
    </w:p>
    <w:p w14:paraId="0D91E60E" w14:textId="77777777" w:rsidR="00707C36" w:rsidRDefault="00EB2926">
      <w:r>
        <w:t>The premises leave two ordinary possibilities open: Dana could be a chair with access, or a non-chair with access. Because both fit the rule, access alone does not settle Dana’s position.</w:t>
      </w:r>
    </w:p>
    <w:p w14:paraId="3133607B" w14:textId="77777777" w:rsidR="00707C36" w:rsidRDefault="00EB2926">
      <w:r>
        <w:t>Inferring P from P → Q and Q is called affirming the consequent. The problem is not that Dana definitely is not a chair. The problem is that the premises do not establish that she is.</w:t>
      </w:r>
    </w:p>
    <w:p w14:paraId="1B092DC5" w14:textId="77777777" w:rsidR="00707C36" w:rsidRDefault="00EB2926">
      <w:pPr>
        <w:pStyle w:val="Callout"/>
      </w:pPr>
      <w:r>
        <w:rPr>
          <w:b/>
        </w:rPr>
        <w:t>Diagnostic question</w:t>
      </w:r>
      <w:r>
        <w:br/>
        <w:t>Is budget-system access restricted to department chairs, or can non-chairs also have it?</w:t>
      </w:r>
    </w:p>
    <w:p w14:paraId="4A2DA54C" w14:textId="77777777" w:rsidR="00707C36" w:rsidRDefault="00EB2926">
      <w:pPr>
        <w:pStyle w:val="Heading2"/>
      </w:pPr>
      <w:r>
        <w:t>4. Losing one route does not make the result impossible</w:t>
      </w:r>
    </w:p>
    <w:p w14:paraId="542B406E" w14:textId="77777777" w:rsidR="00707C36" w:rsidRDefault="00EB2926">
      <w:pPr>
        <w:pStyle w:val="Case"/>
      </w:pPr>
      <w:r>
        <w:t>If someone is a department chair, that person has access. Priya is not a chair. Therefore, Priya does not have access.</w:t>
      </w:r>
    </w:p>
    <w:p w14:paraId="1A53A46A" w14:textId="77777777" w:rsidR="00707C36" w:rsidRDefault="00EB2926">
      <w:r>
        <w:t>Again, two possibilities remain: a non-chair with access and a non-chair without access. The rule tells us what happens to chairs. It does not tell us that chair status is required for access.</w:t>
      </w:r>
    </w:p>
    <w:p w14:paraId="15D731EE" w14:textId="77777777" w:rsidR="00707C36" w:rsidRDefault="00EB2926">
      <w:r>
        <w:t>Inferring not Q from P → Q and not P is called denying the antecedent. The mistake is treating one sufficient route to Q as though it were the only route to Q.</w:t>
      </w:r>
    </w:p>
    <w:p w14:paraId="7BA32C82" w14:textId="77777777" w:rsidR="00707C36" w:rsidRDefault="00EB2926">
      <w:pPr>
        <w:pStyle w:val="Callout"/>
      </w:pPr>
      <w:r>
        <w:rPr>
          <w:b/>
        </w:rPr>
        <w:t>Diagnostic question</w:t>
      </w:r>
      <w:r>
        <w:br/>
        <w:t>Can someone have budget-system access without being a department chair, or is chair status actually required for access?</w:t>
      </w:r>
    </w:p>
    <w:p w14:paraId="3DEF6825" w14:textId="77777777" w:rsidR="00707C36" w:rsidRDefault="00EB2926">
      <w:pPr>
        <w:pStyle w:val="Callout"/>
      </w:pPr>
      <w:r>
        <w:rPr>
          <w:b/>
        </w:rPr>
        <w:t>Do not overcorrect</w:t>
      </w:r>
      <w:r>
        <w:br/>
        <w:t>When an inference is invalid, the right verdict is usually “not established,” not “false.” If both a conclusion and its opposite fit the premises, the premises leave the issue open.</w:t>
      </w:r>
    </w:p>
    <w:p w14:paraId="247B2318" w14:textId="77777777" w:rsidR="00707C36" w:rsidRDefault="00EB2926">
      <w:pPr>
        <w:pStyle w:val="Exercise"/>
      </w:pPr>
      <w:r>
        <w:rPr>
          <w:b/>
        </w:rPr>
        <w:lastRenderedPageBreak/>
        <w:t xml:space="preserve">C1. </w:t>
      </w:r>
      <w:r>
        <w:t>Rule: “If an application is approved, a confirmation email is sent.” The application was approved. What follows?</w:t>
      </w:r>
    </w:p>
    <w:p w14:paraId="22FE066B" w14:textId="77777777" w:rsidR="00707C36" w:rsidRDefault="00707C36">
      <w:pPr>
        <w:pStyle w:val="AnswerSpace"/>
      </w:pPr>
    </w:p>
    <w:p w14:paraId="0318B05B" w14:textId="77777777" w:rsidR="00EF6C93" w:rsidRDefault="00EF6C93">
      <w:pPr>
        <w:pStyle w:val="AnswerSpace"/>
      </w:pPr>
    </w:p>
    <w:p w14:paraId="06490147" w14:textId="77777777" w:rsidR="00707C36" w:rsidRDefault="00EB2926">
      <w:pPr>
        <w:pStyle w:val="Exercise"/>
      </w:pPr>
      <w:r>
        <w:rPr>
          <w:b/>
        </w:rPr>
        <w:t xml:space="preserve">C2. </w:t>
      </w:r>
      <w:r>
        <w:t>Under the same rule, no confirmation email was sent. What follows about approval?</w:t>
      </w:r>
    </w:p>
    <w:p w14:paraId="39C2C26E" w14:textId="77777777" w:rsidR="00707C36" w:rsidRDefault="00707C36">
      <w:pPr>
        <w:pStyle w:val="AnswerSpace"/>
      </w:pPr>
    </w:p>
    <w:p w14:paraId="55A05DBE" w14:textId="77777777" w:rsidR="00EF6C93" w:rsidRDefault="00EF6C93">
      <w:pPr>
        <w:pStyle w:val="AnswerSpace"/>
      </w:pPr>
    </w:p>
    <w:p w14:paraId="7FA9D44B" w14:textId="77777777" w:rsidR="00707C36" w:rsidRDefault="00EB2926">
      <w:pPr>
        <w:pStyle w:val="Exercise"/>
      </w:pPr>
      <w:r>
        <w:rPr>
          <w:b/>
        </w:rPr>
        <w:t xml:space="preserve">C3. </w:t>
      </w:r>
      <w:r>
        <w:t>Under the same rule, a confirmation email was sent. Does approval follow? Give one permitted case that shows why or why not.</w:t>
      </w:r>
    </w:p>
    <w:p w14:paraId="31423563" w14:textId="77777777" w:rsidR="00707C36" w:rsidRDefault="00707C36">
      <w:pPr>
        <w:pStyle w:val="AnswerSpace"/>
      </w:pPr>
    </w:p>
    <w:p w14:paraId="20FC9BC8" w14:textId="77777777" w:rsidR="00EF6C93" w:rsidRDefault="00EF6C93">
      <w:pPr>
        <w:pStyle w:val="AnswerSpace"/>
      </w:pPr>
    </w:p>
    <w:p w14:paraId="5406DF6B" w14:textId="77777777" w:rsidR="00707C36" w:rsidRDefault="00EB2926">
      <w:pPr>
        <w:pStyle w:val="Exercise"/>
      </w:pPr>
      <w:r>
        <w:rPr>
          <w:b/>
        </w:rPr>
        <w:t xml:space="preserve">C4. </w:t>
      </w:r>
      <w:r>
        <w:t>Under the same rule, the application was not approved. Does it follow that no confirmation email was sent? Explain.</w:t>
      </w:r>
    </w:p>
    <w:p w14:paraId="26B5FE83" w14:textId="77777777" w:rsidR="00707C36" w:rsidRDefault="00707C36">
      <w:pPr>
        <w:pStyle w:val="AnswerSpace"/>
      </w:pPr>
    </w:p>
    <w:p w14:paraId="5D4BA611" w14:textId="77777777" w:rsidR="00EF6C93" w:rsidRDefault="00EF6C93">
      <w:pPr>
        <w:pStyle w:val="AnswerSpace"/>
      </w:pPr>
    </w:p>
    <w:p w14:paraId="2EF1BDFC" w14:textId="77777777" w:rsidR="00707C36" w:rsidRDefault="00EB2926">
      <w:pPr>
        <w:pStyle w:val="Heading1"/>
      </w:pPr>
      <w:r>
        <w:t>V. Use the Table When Your Intuition Gets Slippery</w:t>
      </w:r>
    </w:p>
    <w:p w14:paraId="0B123096" w14:textId="7A1D5653" w:rsidR="00707C36" w:rsidRDefault="00EB2926">
      <w:r>
        <w:t xml:space="preserve">You do not need a truth table for every easy case. But it is a dependable backup when the wording gets confusing. </w:t>
      </w:r>
      <w:r w:rsidR="00EF6C93">
        <w:t>Here is the procedure</w:t>
      </w:r>
      <w:r>
        <w:t>:</w:t>
      </w:r>
    </w:p>
    <w:p w14:paraId="53DE9B45" w14:textId="77777777" w:rsidR="00707C36" w:rsidRDefault="00EB2926">
      <w:pPr>
        <w:pStyle w:val="ListNumber"/>
      </w:pPr>
      <w:r>
        <w:t>Write the conditional and what P and Q mean.</w:t>
      </w:r>
    </w:p>
    <w:p w14:paraId="1DF7896C" w14:textId="77777777" w:rsidR="00707C36" w:rsidRDefault="00EB2926">
      <w:pPr>
        <w:pStyle w:val="ListNumber"/>
      </w:pPr>
      <w:r>
        <w:t>Cross out the one row that makes the conditional false: P true, Q false.</w:t>
      </w:r>
    </w:p>
    <w:p w14:paraId="3C5FC887" w14:textId="77777777" w:rsidR="00707C36" w:rsidRDefault="00EB2926">
      <w:pPr>
        <w:pStyle w:val="ListNumber"/>
      </w:pPr>
      <w:r>
        <w:t>Use the additional fact to cross out any more rows that do not fit.</w:t>
      </w:r>
    </w:p>
    <w:p w14:paraId="419CCA25" w14:textId="77777777" w:rsidR="00707C36" w:rsidRDefault="00EB2926">
      <w:pPr>
        <w:pStyle w:val="ListNumber"/>
      </w:pPr>
      <w:r>
        <w:t>Look at every row left. If the proposed conclusion is true in all of them, it follows. If even one remaining row makes the conclusion false, the premises do not guarantee it.</w:t>
      </w:r>
    </w:p>
    <w:p w14:paraId="3703C4E2" w14:textId="77777777" w:rsidR="00707C36" w:rsidRDefault="00EB2926">
      <w:r>
        <w:t>This last point is the definition of a valid deductive inference: there is no possible row in which all the premises are true and the conclusion is false.</w:t>
      </w:r>
    </w:p>
    <w:p w14:paraId="26A4EAF8" w14:textId="77777777" w:rsidR="00707C36" w:rsidRDefault="00EB2926">
      <w:r>
        <w:t>A counterexample to an inference must preserve the premises. If you “disprove” an argument by imagining a situation that breaks one of the premises, you have not shown the inference invalid; you have simply imagined a different argument.</w:t>
      </w:r>
    </w:p>
    <w:p w14:paraId="1FD6EFE8" w14:textId="77777777" w:rsidR="00707C36" w:rsidRDefault="00EB2926">
      <w:pPr>
        <w:pStyle w:val="Callout"/>
      </w:pPr>
      <w:r>
        <w:rPr>
          <w:b/>
        </w:rPr>
        <w:t>Useful mental shortcut</w:t>
      </w:r>
      <w:r>
        <w:br/>
      </w:r>
      <w:r>
        <w:t>Ask: “Can I keep everything I was told true and still make the conclusion false?” If yes, the conclusion is not guaranteed by those premises.</w:t>
      </w:r>
    </w:p>
    <w:p w14:paraId="13BE5985" w14:textId="77777777" w:rsidR="00707C36" w:rsidRDefault="00EB2926">
      <w:pPr>
        <w:pStyle w:val="Heading1"/>
      </w:pPr>
      <w:r>
        <w:t>VI. “If” and “Only If” Point in Different Directions</w:t>
      </w:r>
    </w:p>
    <w:p w14:paraId="087D0CAD" w14:textId="77777777" w:rsidR="00707C36" w:rsidRDefault="00EB2926">
      <w:r>
        <w:t>A major source of mistakes is treating “if” and “only if” as though “only” merely adds emphasis. It does not. It changes the relationship.</w:t>
      </w:r>
    </w:p>
    <w:p w14:paraId="405BF5A8" w14:textId="77777777" w:rsidR="00707C36" w:rsidRDefault="00EB2926">
      <w:pPr>
        <w:pStyle w:val="Heading2"/>
      </w:pPr>
      <w:r>
        <w:t>“If”: the if-clause gives an enough condition</w:t>
      </w:r>
    </w:p>
    <w:p w14:paraId="22EBF956" w14:textId="77777777" w:rsidR="00707C36" w:rsidRDefault="00EB2926">
      <w:pPr>
        <w:pStyle w:val="Case"/>
      </w:pPr>
      <w:r>
        <w:t>“You receive free admission if you present the voucher.”</w:t>
      </w:r>
    </w:p>
    <w:p w14:paraId="51C920C6" w14:textId="77777777" w:rsidR="00707C36" w:rsidRDefault="00EB2926">
      <w:r>
        <w:lastRenderedPageBreak/>
        <w:t>Put the sentence into familiar order: “If you present the voucher, then you receive free admission.” Voucher → free admission. Presenting the voucher is enough for free admission.</w:t>
      </w:r>
    </w:p>
    <w:p w14:paraId="2BFB1F2D" w14:textId="77777777" w:rsidR="00707C36" w:rsidRDefault="00EB2926">
      <w:r>
        <w:t>The word order can move without changing the logic. “Q if P” means P → Q.</w:t>
      </w:r>
    </w:p>
    <w:p w14:paraId="5BE7D39E" w14:textId="77777777" w:rsidR="00707C36" w:rsidRDefault="00EB2926">
      <w:r>
        <w:t>A refund if the item is defective means: defective → refund. A defective item without a refund breaks the guarantee. A refund on a nondefective item does not.</w:t>
      </w:r>
    </w:p>
    <w:p w14:paraId="67AE3F2B" w14:textId="77777777" w:rsidR="00707C36" w:rsidRDefault="00EB2926">
      <w:pPr>
        <w:pStyle w:val="Heading2"/>
      </w:pPr>
      <w:r>
        <w:t>“Only if”: the only-if clause gives a required condition</w:t>
      </w:r>
    </w:p>
    <w:p w14:paraId="22BA4E9B" w14:textId="77777777" w:rsidR="00707C36" w:rsidRDefault="00EB2926">
      <w:pPr>
        <w:pStyle w:val="Case"/>
      </w:pPr>
      <w:r>
        <w:t>“You receive free admission only if you present the voucher.”</w:t>
      </w:r>
    </w:p>
    <w:p w14:paraId="60665F0E" w14:textId="77777777" w:rsidR="00707C36" w:rsidRDefault="00EB2926">
      <w:r>
        <w:t>This means free admission cannot occur without a voucher. So the direction is free admission → voucher. The voucher is required for free admission. The statement does not, by itself, promise that presenting a voucher is enough to get in free.</w:t>
      </w:r>
    </w:p>
    <w:p w14:paraId="5259989E" w14:textId="77777777" w:rsidR="00707C36" w:rsidRDefault="00EB2926">
      <w:r>
        <w:t>A good way to check “only if” is to complete this sentence: “You cannot have ___ without ___.”</w:t>
      </w:r>
    </w:p>
    <w:p w14:paraId="5240BAE4" w14:textId="77777777" w:rsidR="00707C36" w:rsidRDefault="00EB2926">
      <w:pPr>
        <w:pStyle w:val="Case"/>
      </w:pPr>
      <w:r>
        <w:t>You cannot have free admission without a voucher. Therefore: free admission → voucher.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2"/>
        <w:gridCol w:w="2088"/>
        <w:gridCol w:w="6120"/>
      </w:tblGrid>
      <w:tr w:rsidR="00707C36" w14:paraId="11D12F1A" w14:textId="77777777" w:rsidTr="006A320F">
        <w:trPr>
          <w:cantSplit/>
          <w:tblHeader/>
          <w:jc w:val="center"/>
        </w:trPr>
        <w:tc>
          <w:tcPr>
            <w:tcW w:w="2232" w:type="dxa"/>
            <w:shd w:val="clear" w:color="auto" w:fill="E7E7E7"/>
            <w:tcMar>
              <w:top w:w="70" w:type="dxa"/>
              <w:left w:w="80" w:type="dxa"/>
              <w:bottom w:w="70" w:type="dxa"/>
              <w:right w:w="80" w:type="dxa"/>
            </w:tcMar>
            <w:vAlign w:val="center"/>
          </w:tcPr>
          <w:p w14:paraId="184EA056" w14:textId="77777777" w:rsidR="00707C36" w:rsidRDefault="00EB2926">
            <w:pPr>
              <w:pStyle w:val="TableText"/>
            </w:pPr>
            <w:r>
              <w:rPr>
                <w:b/>
              </w:rPr>
              <w:t>Wording</w:t>
            </w:r>
          </w:p>
        </w:tc>
        <w:tc>
          <w:tcPr>
            <w:tcW w:w="2088" w:type="dxa"/>
            <w:shd w:val="clear" w:color="auto" w:fill="E7E7E7"/>
            <w:tcMar>
              <w:top w:w="70" w:type="dxa"/>
              <w:left w:w="80" w:type="dxa"/>
              <w:bottom w:w="70" w:type="dxa"/>
              <w:right w:w="80" w:type="dxa"/>
            </w:tcMar>
            <w:vAlign w:val="center"/>
          </w:tcPr>
          <w:p w14:paraId="1B69BF1D" w14:textId="77777777" w:rsidR="00707C36" w:rsidRDefault="00EB2926">
            <w:pPr>
              <w:pStyle w:val="TableText"/>
              <w:jc w:val="center"/>
            </w:pPr>
            <w:r>
              <w:rPr>
                <w:b/>
              </w:rPr>
              <w:t>Translation</w:t>
            </w:r>
          </w:p>
        </w:tc>
        <w:tc>
          <w:tcPr>
            <w:tcW w:w="6120" w:type="dxa"/>
            <w:shd w:val="clear" w:color="auto" w:fill="E7E7E7"/>
            <w:tcMar>
              <w:top w:w="70" w:type="dxa"/>
              <w:left w:w="80" w:type="dxa"/>
              <w:bottom w:w="70" w:type="dxa"/>
              <w:right w:w="80" w:type="dxa"/>
            </w:tcMar>
            <w:vAlign w:val="center"/>
          </w:tcPr>
          <w:p w14:paraId="42D57408" w14:textId="77777777" w:rsidR="00707C36" w:rsidRDefault="00EB2926">
            <w:pPr>
              <w:pStyle w:val="TableText"/>
            </w:pPr>
            <w:r>
              <w:rPr>
                <w:b/>
              </w:rPr>
              <w:t>Case that would violate it</w:t>
            </w:r>
          </w:p>
        </w:tc>
      </w:tr>
      <w:tr w:rsidR="00707C36" w14:paraId="24477184" w14:textId="77777777" w:rsidTr="006A320F">
        <w:trPr>
          <w:cantSplit/>
          <w:jc w:val="center"/>
        </w:trPr>
        <w:tc>
          <w:tcPr>
            <w:tcW w:w="2232" w:type="dxa"/>
            <w:tcMar>
              <w:top w:w="70" w:type="dxa"/>
              <w:left w:w="80" w:type="dxa"/>
              <w:bottom w:w="70" w:type="dxa"/>
              <w:right w:w="80" w:type="dxa"/>
            </w:tcMar>
            <w:vAlign w:val="center"/>
          </w:tcPr>
          <w:p w14:paraId="2108A3E8" w14:textId="77777777" w:rsidR="00707C36" w:rsidRDefault="00EB2926">
            <w:pPr>
              <w:pStyle w:val="TableText"/>
            </w:pPr>
            <w:r>
              <w:t>Q if P</w:t>
            </w:r>
          </w:p>
        </w:tc>
        <w:tc>
          <w:tcPr>
            <w:tcW w:w="2088" w:type="dxa"/>
            <w:tcMar>
              <w:top w:w="70" w:type="dxa"/>
              <w:left w:w="80" w:type="dxa"/>
              <w:bottom w:w="70" w:type="dxa"/>
              <w:right w:w="80" w:type="dxa"/>
            </w:tcMar>
            <w:vAlign w:val="center"/>
          </w:tcPr>
          <w:p w14:paraId="6384BC3E" w14:textId="77777777" w:rsidR="00707C36" w:rsidRDefault="00EB2926">
            <w:pPr>
              <w:pStyle w:val="TableText"/>
              <w:jc w:val="center"/>
            </w:pPr>
            <w:r>
              <w:t>P → Q</w:t>
            </w:r>
          </w:p>
        </w:tc>
        <w:tc>
          <w:tcPr>
            <w:tcW w:w="6120" w:type="dxa"/>
            <w:tcMar>
              <w:top w:w="70" w:type="dxa"/>
              <w:left w:w="80" w:type="dxa"/>
              <w:bottom w:w="70" w:type="dxa"/>
              <w:right w:w="80" w:type="dxa"/>
            </w:tcMar>
            <w:vAlign w:val="center"/>
          </w:tcPr>
          <w:p w14:paraId="763682DE" w14:textId="77777777" w:rsidR="00707C36" w:rsidRDefault="00EB2926">
            <w:pPr>
              <w:pStyle w:val="TableText"/>
            </w:pPr>
            <w:r>
              <w:t>P without Q</w:t>
            </w:r>
          </w:p>
        </w:tc>
      </w:tr>
      <w:tr w:rsidR="00707C36" w14:paraId="22732533" w14:textId="77777777" w:rsidTr="006A320F">
        <w:trPr>
          <w:cantSplit/>
          <w:jc w:val="center"/>
        </w:trPr>
        <w:tc>
          <w:tcPr>
            <w:tcW w:w="2232" w:type="dxa"/>
            <w:tcMar>
              <w:top w:w="70" w:type="dxa"/>
              <w:left w:w="80" w:type="dxa"/>
              <w:bottom w:w="70" w:type="dxa"/>
              <w:right w:w="80" w:type="dxa"/>
            </w:tcMar>
            <w:vAlign w:val="center"/>
          </w:tcPr>
          <w:p w14:paraId="63DA99F6" w14:textId="77777777" w:rsidR="00707C36" w:rsidRDefault="00EB2926">
            <w:pPr>
              <w:pStyle w:val="TableText"/>
            </w:pPr>
            <w:r>
              <w:t>P only if Q</w:t>
            </w:r>
          </w:p>
        </w:tc>
        <w:tc>
          <w:tcPr>
            <w:tcW w:w="2088" w:type="dxa"/>
            <w:tcMar>
              <w:top w:w="70" w:type="dxa"/>
              <w:left w:w="80" w:type="dxa"/>
              <w:bottom w:w="70" w:type="dxa"/>
              <w:right w:w="80" w:type="dxa"/>
            </w:tcMar>
            <w:vAlign w:val="center"/>
          </w:tcPr>
          <w:p w14:paraId="5451575F" w14:textId="77777777" w:rsidR="00707C36" w:rsidRDefault="00EB2926">
            <w:pPr>
              <w:pStyle w:val="TableText"/>
              <w:jc w:val="center"/>
            </w:pPr>
            <w:r>
              <w:t>P → Q</w:t>
            </w:r>
          </w:p>
        </w:tc>
        <w:tc>
          <w:tcPr>
            <w:tcW w:w="6120" w:type="dxa"/>
            <w:tcMar>
              <w:top w:w="70" w:type="dxa"/>
              <w:left w:w="80" w:type="dxa"/>
              <w:bottom w:w="70" w:type="dxa"/>
              <w:right w:w="80" w:type="dxa"/>
            </w:tcMar>
            <w:vAlign w:val="center"/>
          </w:tcPr>
          <w:p w14:paraId="4F91ABA8" w14:textId="77777777" w:rsidR="00707C36" w:rsidRDefault="00EB2926">
            <w:pPr>
              <w:pStyle w:val="TableText"/>
            </w:pPr>
            <w:r>
              <w:t>P without Q</w:t>
            </w:r>
          </w:p>
        </w:tc>
      </w:tr>
    </w:tbl>
    <w:p w14:paraId="6F9E2926" w14:textId="77777777" w:rsidR="006A320F" w:rsidRDefault="006A320F"/>
    <w:p w14:paraId="3666CED9" w14:textId="16EF2654" w:rsidR="00707C36" w:rsidRDefault="00EB2926">
      <w:r>
        <w:t>The same symbolic translation appears in both rows because the letters occupy different grammatical positions. Do not memorize “if means arrow right” or “only if means arrow left.” First identify what each part actually says, then ask what combination the sentence forbids.</w:t>
      </w:r>
    </w:p>
    <w:p w14:paraId="211A32F3" w14:textId="77777777" w:rsidR="00707C36" w:rsidRDefault="00EB2926">
      <w:pPr>
        <w:pStyle w:val="Exercise"/>
      </w:pPr>
      <w:r>
        <w:rPr>
          <w:b/>
        </w:rPr>
        <w:t xml:space="preserve">D1. </w:t>
      </w:r>
      <w:r>
        <w:t>“Your shipping charge is waived if you use the promotion code.” A customer received the waiver. Does that establish use of the code? What question would settle the issue?</w:t>
      </w:r>
    </w:p>
    <w:p w14:paraId="05215F22" w14:textId="77777777" w:rsidR="00707C36" w:rsidRDefault="00707C36">
      <w:pPr>
        <w:pStyle w:val="AnswerSpace"/>
      </w:pPr>
    </w:p>
    <w:p w14:paraId="322AA257" w14:textId="77777777" w:rsidR="006A320F" w:rsidRDefault="006A320F">
      <w:pPr>
        <w:pStyle w:val="AnswerSpace"/>
      </w:pPr>
    </w:p>
    <w:p w14:paraId="6C4B606F" w14:textId="77777777" w:rsidR="00707C36" w:rsidRDefault="00EB2926">
      <w:pPr>
        <w:pStyle w:val="Exercise"/>
      </w:pPr>
      <w:r>
        <w:rPr>
          <w:b/>
        </w:rPr>
        <w:t xml:space="preserve">D2. </w:t>
      </w:r>
      <w:r>
        <w:t>“An applicant is eligible only if the applicant lives in the county.” Rosa lives in the county. Does the rule establish that Rosa is eligible? Explain.</w:t>
      </w:r>
    </w:p>
    <w:p w14:paraId="22BF6E4C" w14:textId="77777777" w:rsidR="00707C36" w:rsidRDefault="00707C36">
      <w:pPr>
        <w:pStyle w:val="AnswerSpace"/>
      </w:pPr>
    </w:p>
    <w:p w14:paraId="2F5CC039" w14:textId="77777777" w:rsidR="006A320F" w:rsidRDefault="006A320F">
      <w:pPr>
        <w:pStyle w:val="AnswerSpace"/>
      </w:pPr>
    </w:p>
    <w:p w14:paraId="06F42876" w14:textId="77777777" w:rsidR="006A320F" w:rsidRDefault="006A320F">
      <w:pPr>
        <w:pStyle w:val="AnswerSpace"/>
      </w:pPr>
    </w:p>
    <w:p w14:paraId="24F729B6" w14:textId="77777777" w:rsidR="00707C36" w:rsidRDefault="00EB2926">
      <w:pPr>
        <w:pStyle w:val="Exercise"/>
      </w:pPr>
      <w:r>
        <w:rPr>
          <w:b/>
        </w:rPr>
        <w:t xml:space="preserve">D3. </w:t>
      </w:r>
      <w:r>
        <w:t>Under that same “only if” rule, Leo does not live in the county. What follows about eligibility?</w:t>
      </w:r>
    </w:p>
    <w:p w14:paraId="3907E543" w14:textId="77777777" w:rsidR="00707C36" w:rsidRDefault="00707C36">
      <w:pPr>
        <w:pStyle w:val="AnswerSpace"/>
      </w:pPr>
    </w:p>
    <w:p w14:paraId="04E87ACB" w14:textId="77777777" w:rsidR="006A320F" w:rsidRDefault="006A320F">
      <w:pPr>
        <w:pStyle w:val="AnswerSpace"/>
      </w:pPr>
    </w:p>
    <w:p w14:paraId="64327B06" w14:textId="77777777" w:rsidR="006A320F" w:rsidRDefault="006A320F">
      <w:pPr>
        <w:pStyle w:val="AnswerSpace"/>
      </w:pPr>
    </w:p>
    <w:p w14:paraId="7EF31361" w14:textId="77777777" w:rsidR="00707C36" w:rsidRDefault="00EB2926">
      <w:pPr>
        <w:pStyle w:val="Heading1"/>
      </w:pPr>
      <w:r>
        <w:lastRenderedPageBreak/>
        <w:t>VII. “Unless”: First Rewrite the Rule</w:t>
      </w:r>
    </w:p>
    <w:p w14:paraId="4E3B5A7C" w14:textId="77777777" w:rsidR="00707C36" w:rsidRDefault="00EB2926">
      <w:r>
        <w:t>“Unless” often tempts us to hear a stronger promise than the sentence actually gives. For this unit, use the standard logical translation:</w:t>
      </w:r>
    </w:p>
    <w:p w14:paraId="560B36C4" w14:textId="77777777" w:rsidR="00707C36" w:rsidRDefault="00EB2926">
      <w:pPr>
        <w:pStyle w:val="Callout"/>
      </w:pPr>
      <w:r>
        <w:rPr>
          <w:b/>
        </w:rPr>
        <w:t>Translation</w:t>
      </w:r>
      <w:r>
        <w:br/>
        <w:t>P unless Q means: if not Q, then P.</w:t>
      </w:r>
    </w:p>
    <w:p w14:paraId="0740D061" w14:textId="77777777" w:rsidR="00707C36" w:rsidRDefault="00EB2926">
      <w:pPr>
        <w:pStyle w:val="Case"/>
      </w:pPr>
      <w:r>
        <w:t>“Unless an application is signed, it will be rejected.”</w:t>
      </w:r>
    </w:p>
    <w:p w14:paraId="5C86BE2D" w14:textId="77777777" w:rsidR="00707C36" w:rsidRDefault="00EB2926">
      <w:r>
        <w:t>Let S mean signed and R mean rejected. The rule becomes: if not S, then R. In words: no signature → rejected.</w:t>
      </w:r>
    </w:p>
    <w:p w14:paraId="383AB33E" w14:textId="77777777" w:rsidR="00707C36" w:rsidRDefault="00EB2926">
      <w:r>
        <w:t>What breaks that rule? An unsigned application that is not rejected. That is the one forbidden combination.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3600"/>
        <w:gridCol w:w="4104"/>
      </w:tblGrid>
      <w:tr w:rsidR="00707C36" w14:paraId="24AB1827" w14:textId="77777777" w:rsidTr="006A320F">
        <w:trPr>
          <w:cantSplit/>
          <w:tblHeader/>
          <w:jc w:val="center"/>
        </w:trPr>
        <w:tc>
          <w:tcPr>
            <w:tcW w:w="1440" w:type="dxa"/>
            <w:shd w:val="clear" w:color="auto" w:fill="E7E7E7"/>
            <w:tcMar>
              <w:top w:w="70" w:type="dxa"/>
              <w:left w:w="80" w:type="dxa"/>
              <w:bottom w:w="70" w:type="dxa"/>
              <w:right w:w="80" w:type="dxa"/>
            </w:tcMar>
            <w:vAlign w:val="center"/>
          </w:tcPr>
          <w:p w14:paraId="3EFB24C5" w14:textId="77777777" w:rsidR="00707C36" w:rsidRDefault="00EB2926">
            <w:pPr>
              <w:pStyle w:val="TableText"/>
            </w:pPr>
            <w:r>
              <w:rPr>
                <w:b/>
              </w:rPr>
              <w:t>Signed?</w:t>
            </w:r>
          </w:p>
        </w:tc>
        <w:tc>
          <w:tcPr>
            <w:tcW w:w="1440" w:type="dxa"/>
            <w:shd w:val="clear" w:color="auto" w:fill="E7E7E7"/>
            <w:tcMar>
              <w:top w:w="70" w:type="dxa"/>
              <w:left w:w="80" w:type="dxa"/>
              <w:bottom w:w="70" w:type="dxa"/>
              <w:right w:w="80" w:type="dxa"/>
            </w:tcMar>
            <w:vAlign w:val="center"/>
          </w:tcPr>
          <w:p w14:paraId="43BE6BD6" w14:textId="77777777" w:rsidR="00707C36" w:rsidRDefault="00EB2926">
            <w:pPr>
              <w:pStyle w:val="TableText"/>
            </w:pPr>
            <w:r>
              <w:rPr>
                <w:b/>
              </w:rPr>
              <w:t>Rejected?</w:t>
            </w:r>
          </w:p>
        </w:tc>
        <w:tc>
          <w:tcPr>
            <w:tcW w:w="3600" w:type="dxa"/>
            <w:shd w:val="clear" w:color="auto" w:fill="E7E7E7"/>
            <w:tcMar>
              <w:top w:w="70" w:type="dxa"/>
              <w:left w:w="80" w:type="dxa"/>
              <w:bottom w:w="70" w:type="dxa"/>
              <w:right w:w="80" w:type="dxa"/>
            </w:tcMar>
            <w:vAlign w:val="center"/>
          </w:tcPr>
          <w:p w14:paraId="7B3BDB83" w14:textId="77777777" w:rsidR="00707C36" w:rsidRDefault="00EB2926">
            <w:pPr>
              <w:pStyle w:val="TableText"/>
            </w:pPr>
            <w:r>
              <w:rPr>
                <w:b/>
              </w:rPr>
              <w:t>Fits “unless signed, rejected”?</w:t>
            </w:r>
          </w:p>
        </w:tc>
        <w:tc>
          <w:tcPr>
            <w:tcW w:w="4104" w:type="dxa"/>
            <w:shd w:val="clear" w:color="auto" w:fill="E7E7E7"/>
            <w:tcMar>
              <w:top w:w="70" w:type="dxa"/>
              <w:left w:w="80" w:type="dxa"/>
              <w:bottom w:w="70" w:type="dxa"/>
              <w:right w:w="80" w:type="dxa"/>
            </w:tcMar>
            <w:vAlign w:val="center"/>
          </w:tcPr>
          <w:p w14:paraId="42612A93" w14:textId="77777777" w:rsidR="00707C36" w:rsidRDefault="00EB2926">
            <w:pPr>
              <w:pStyle w:val="TableText"/>
            </w:pPr>
            <w:r>
              <w:rPr>
                <w:b/>
              </w:rPr>
              <w:t>Why</w:t>
            </w:r>
          </w:p>
        </w:tc>
      </w:tr>
      <w:tr w:rsidR="00707C36" w14:paraId="54B26F40" w14:textId="77777777" w:rsidTr="006A320F">
        <w:trPr>
          <w:cantSplit/>
          <w:jc w:val="center"/>
        </w:trPr>
        <w:tc>
          <w:tcPr>
            <w:tcW w:w="1440" w:type="dxa"/>
            <w:tcMar>
              <w:top w:w="70" w:type="dxa"/>
              <w:left w:w="80" w:type="dxa"/>
              <w:bottom w:w="70" w:type="dxa"/>
              <w:right w:w="80" w:type="dxa"/>
            </w:tcMar>
            <w:vAlign w:val="center"/>
          </w:tcPr>
          <w:p w14:paraId="52CA6656" w14:textId="77777777" w:rsidR="00707C36" w:rsidRDefault="00EB2926">
            <w:pPr>
              <w:pStyle w:val="TableText"/>
            </w:pPr>
            <w:r>
              <w:t>Yes</w:t>
            </w:r>
          </w:p>
        </w:tc>
        <w:tc>
          <w:tcPr>
            <w:tcW w:w="1440" w:type="dxa"/>
            <w:tcMar>
              <w:top w:w="70" w:type="dxa"/>
              <w:left w:w="80" w:type="dxa"/>
              <w:bottom w:w="70" w:type="dxa"/>
              <w:right w:w="80" w:type="dxa"/>
            </w:tcMar>
            <w:vAlign w:val="center"/>
          </w:tcPr>
          <w:p w14:paraId="39C4C6BC" w14:textId="77777777" w:rsidR="00707C36" w:rsidRDefault="00EB2926">
            <w:pPr>
              <w:pStyle w:val="TableText"/>
            </w:pPr>
            <w:r>
              <w:t>Yes</w:t>
            </w:r>
          </w:p>
        </w:tc>
        <w:tc>
          <w:tcPr>
            <w:tcW w:w="3600" w:type="dxa"/>
            <w:tcMar>
              <w:top w:w="70" w:type="dxa"/>
              <w:left w:w="80" w:type="dxa"/>
              <w:bottom w:w="70" w:type="dxa"/>
              <w:right w:w="80" w:type="dxa"/>
            </w:tcMar>
            <w:vAlign w:val="center"/>
          </w:tcPr>
          <w:p w14:paraId="4D08FDCD" w14:textId="77777777" w:rsidR="00707C36" w:rsidRDefault="00EB2926">
            <w:pPr>
              <w:pStyle w:val="TableText"/>
            </w:pPr>
            <w:r>
              <w:t>Yes</w:t>
            </w:r>
          </w:p>
        </w:tc>
        <w:tc>
          <w:tcPr>
            <w:tcW w:w="4104" w:type="dxa"/>
            <w:tcMar>
              <w:top w:w="70" w:type="dxa"/>
              <w:left w:w="80" w:type="dxa"/>
              <w:bottom w:w="70" w:type="dxa"/>
              <w:right w:w="80" w:type="dxa"/>
            </w:tcMar>
            <w:vAlign w:val="center"/>
          </w:tcPr>
          <w:p w14:paraId="6CFD83B4" w14:textId="77777777" w:rsidR="00707C36" w:rsidRDefault="00EB2926">
            <w:pPr>
              <w:pStyle w:val="TableText"/>
            </w:pPr>
            <w:r>
              <w:t>A signed application can still be rejected.</w:t>
            </w:r>
          </w:p>
        </w:tc>
      </w:tr>
      <w:tr w:rsidR="00707C36" w14:paraId="7BAAD318" w14:textId="77777777" w:rsidTr="006A320F">
        <w:trPr>
          <w:cantSplit/>
          <w:jc w:val="center"/>
        </w:trPr>
        <w:tc>
          <w:tcPr>
            <w:tcW w:w="1440" w:type="dxa"/>
            <w:tcMar>
              <w:top w:w="70" w:type="dxa"/>
              <w:left w:w="80" w:type="dxa"/>
              <w:bottom w:w="70" w:type="dxa"/>
              <w:right w:w="80" w:type="dxa"/>
            </w:tcMar>
            <w:vAlign w:val="center"/>
          </w:tcPr>
          <w:p w14:paraId="5C62C297" w14:textId="77777777" w:rsidR="00707C36" w:rsidRDefault="00EB2926">
            <w:pPr>
              <w:pStyle w:val="TableText"/>
            </w:pPr>
            <w:r>
              <w:t>Yes</w:t>
            </w:r>
          </w:p>
        </w:tc>
        <w:tc>
          <w:tcPr>
            <w:tcW w:w="1440" w:type="dxa"/>
            <w:tcMar>
              <w:top w:w="70" w:type="dxa"/>
              <w:left w:w="80" w:type="dxa"/>
              <w:bottom w:w="70" w:type="dxa"/>
              <w:right w:w="80" w:type="dxa"/>
            </w:tcMar>
            <w:vAlign w:val="center"/>
          </w:tcPr>
          <w:p w14:paraId="53CFFA9D" w14:textId="77777777" w:rsidR="00707C36" w:rsidRDefault="00EB2926">
            <w:pPr>
              <w:pStyle w:val="TableText"/>
            </w:pPr>
            <w:r>
              <w:t>No</w:t>
            </w:r>
          </w:p>
        </w:tc>
        <w:tc>
          <w:tcPr>
            <w:tcW w:w="3600" w:type="dxa"/>
            <w:tcMar>
              <w:top w:w="70" w:type="dxa"/>
              <w:left w:w="80" w:type="dxa"/>
              <w:bottom w:w="70" w:type="dxa"/>
              <w:right w:w="80" w:type="dxa"/>
            </w:tcMar>
            <w:vAlign w:val="center"/>
          </w:tcPr>
          <w:p w14:paraId="6CCE381E" w14:textId="77777777" w:rsidR="00707C36" w:rsidRDefault="00EB2926">
            <w:pPr>
              <w:pStyle w:val="TableText"/>
            </w:pPr>
            <w:r>
              <w:t>Yes</w:t>
            </w:r>
          </w:p>
        </w:tc>
        <w:tc>
          <w:tcPr>
            <w:tcW w:w="4104" w:type="dxa"/>
            <w:tcMar>
              <w:top w:w="70" w:type="dxa"/>
              <w:left w:w="80" w:type="dxa"/>
              <w:bottom w:w="70" w:type="dxa"/>
              <w:right w:w="80" w:type="dxa"/>
            </w:tcMar>
            <w:vAlign w:val="center"/>
          </w:tcPr>
          <w:p w14:paraId="3E4BC3FF" w14:textId="77777777" w:rsidR="00707C36" w:rsidRDefault="00EB2926">
            <w:pPr>
              <w:pStyle w:val="TableText"/>
            </w:pPr>
            <w:r>
              <w:t>A signed application can avoid rejection.</w:t>
            </w:r>
          </w:p>
        </w:tc>
      </w:tr>
      <w:tr w:rsidR="00707C36" w14:paraId="456F62CE" w14:textId="77777777" w:rsidTr="006A320F">
        <w:trPr>
          <w:cantSplit/>
          <w:jc w:val="center"/>
        </w:trPr>
        <w:tc>
          <w:tcPr>
            <w:tcW w:w="1440" w:type="dxa"/>
            <w:tcMar>
              <w:top w:w="70" w:type="dxa"/>
              <w:left w:w="80" w:type="dxa"/>
              <w:bottom w:w="70" w:type="dxa"/>
              <w:right w:w="80" w:type="dxa"/>
            </w:tcMar>
            <w:vAlign w:val="center"/>
          </w:tcPr>
          <w:p w14:paraId="6371282B" w14:textId="77777777" w:rsidR="00707C36" w:rsidRDefault="00EB2926">
            <w:pPr>
              <w:pStyle w:val="TableText"/>
            </w:pPr>
            <w:r>
              <w:t>No</w:t>
            </w:r>
          </w:p>
        </w:tc>
        <w:tc>
          <w:tcPr>
            <w:tcW w:w="1440" w:type="dxa"/>
            <w:tcMar>
              <w:top w:w="70" w:type="dxa"/>
              <w:left w:w="80" w:type="dxa"/>
              <w:bottom w:w="70" w:type="dxa"/>
              <w:right w:w="80" w:type="dxa"/>
            </w:tcMar>
            <w:vAlign w:val="center"/>
          </w:tcPr>
          <w:p w14:paraId="071EDB8E" w14:textId="77777777" w:rsidR="00707C36" w:rsidRDefault="00EB2926">
            <w:pPr>
              <w:pStyle w:val="TableText"/>
            </w:pPr>
            <w:r>
              <w:t>Yes</w:t>
            </w:r>
          </w:p>
        </w:tc>
        <w:tc>
          <w:tcPr>
            <w:tcW w:w="3600" w:type="dxa"/>
            <w:tcMar>
              <w:top w:w="70" w:type="dxa"/>
              <w:left w:w="80" w:type="dxa"/>
              <w:bottom w:w="70" w:type="dxa"/>
              <w:right w:w="80" w:type="dxa"/>
            </w:tcMar>
            <w:vAlign w:val="center"/>
          </w:tcPr>
          <w:p w14:paraId="45D99992" w14:textId="77777777" w:rsidR="00707C36" w:rsidRDefault="00EB2926">
            <w:pPr>
              <w:pStyle w:val="TableText"/>
            </w:pPr>
            <w:r>
              <w:t>Yes</w:t>
            </w:r>
          </w:p>
        </w:tc>
        <w:tc>
          <w:tcPr>
            <w:tcW w:w="4104" w:type="dxa"/>
            <w:tcMar>
              <w:top w:w="70" w:type="dxa"/>
              <w:left w:w="80" w:type="dxa"/>
              <w:bottom w:w="70" w:type="dxa"/>
              <w:right w:w="80" w:type="dxa"/>
            </w:tcMar>
            <w:vAlign w:val="center"/>
          </w:tcPr>
          <w:p w14:paraId="47E55EB7" w14:textId="77777777" w:rsidR="00707C36" w:rsidRDefault="00EB2926">
            <w:pPr>
              <w:pStyle w:val="TableText"/>
            </w:pPr>
            <w:r>
              <w:t>The missing signature triggers rejection.</w:t>
            </w:r>
          </w:p>
        </w:tc>
      </w:tr>
      <w:tr w:rsidR="00707C36" w14:paraId="001043CE" w14:textId="77777777" w:rsidTr="006A320F">
        <w:trPr>
          <w:cantSplit/>
          <w:jc w:val="center"/>
        </w:trPr>
        <w:tc>
          <w:tcPr>
            <w:tcW w:w="1440" w:type="dxa"/>
            <w:tcMar>
              <w:top w:w="70" w:type="dxa"/>
              <w:left w:w="80" w:type="dxa"/>
              <w:bottom w:w="70" w:type="dxa"/>
              <w:right w:w="80" w:type="dxa"/>
            </w:tcMar>
            <w:vAlign w:val="center"/>
          </w:tcPr>
          <w:p w14:paraId="5D2E47E2" w14:textId="77777777" w:rsidR="00707C36" w:rsidRDefault="00EB2926">
            <w:pPr>
              <w:pStyle w:val="TableText"/>
            </w:pPr>
            <w:r>
              <w:t>No</w:t>
            </w:r>
          </w:p>
        </w:tc>
        <w:tc>
          <w:tcPr>
            <w:tcW w:w="1440" w:type="dxa"/>
            <w:tcMar>
              <w:top w:w="70" w:type="dxa"/>
              <w:left w:w="80" w:type="dxa"/>
              <w:bottom w:w="70" w:type="dxa"/>
              <w:right w:w="80" w:type="dxa"/>
            </w:tcMar>
            <w:vAlign w:val="center"/>
          </w:tcPr>
          <w:p w14:paraId="53889B24" w14:textId="77777777" w:rsidR="00707C36" w:rsidRDefault="00EB2926">
            <w:pPr>
              <w:pStyle w:val="TableText"/>
            </w:pPr>
            <w:r>
              <w:t>No</w:t>
            </w:r>
          </w:p>
        </w:tc>
        <w:tc>
          <w:tcPr>
            <w:tcW w:w="3600" w:type="dxa"/>
            <w:tcMar>
              <w:top w:w="70" w:type="dxa"/>
              <w:left w:w="80" w:type="dxa"/>
              <w:bottom w:w="70" w:type="dxa"/>
              <w:right w:w="80" w:type="dxa"/>
            </w:tcMar>
            <w:vAlign w:val="center"/>
          </w:tcPr>
          <w:p w14:paraId="3AB49F73" w14:textId="77777777" w:rsidR="00707C36" w:rsidRDefault="00EB2926">
            <w:pPr>
              <w:pStyle w:val="TableText"/>
            </w:pPr>
            <w:r>
              <w:t>No</w:t>
            </w:r>
          </w:p>
        </w:tc>
        <w:tc>
          <w:tcPr>
            <w:tcW w:w="4104" w:type="dxa"/>
            <w:tcMar>
              <w:top w:w="70" w:type="dxa"/>
              <w:left w:w="80" w:type="dxa"/>
              <w:bottom w:w="70" w:type="dxa"/>
              <w:right w:w="80" w:type="dxa"/>
            </w:tcMar>
            <w:vAlign w:val="center"/>
          </w:tcPr>
          <w:p w14:paraId="3E55E3C8" w14:textId="77777777" w:rsidR="00707C36" w:rsidRDefault="00EB2926">
            <w:pPr>
              <w:pStyle w:val="TableText"/>
            </w:pPr>
            <w:r>
              <w:t>This is exactly what the rule forbids.</w:t>
            </w:r>
          </w:p>
        </w:tc>
      </w:tr>
    </w:tbl>
    <w:p w14:paraId="7C5B1774" w14:textId="77777777" w:rsidR="006A320F" w:rsidRDefault="006A320F"/>
    <w:p w14:paraId="0B05E8A4" w14:textId="39C60282" w:rsidR="00707C36" w:rsidRDefault="00EB2926">
      <w:r>
        <w:t>The first two rows are the important surprise. Once the application is signed, this rule stops forcing an outcome. Signing removes the condition that guarantees rejection, but it does not automatically guarantee the opposite outcome.</w:t>
      </w:r>
    </w:p>
    <w:p w14:paraId="7CBA94E5" w14:textId="77777777" w:rsidR="00707C36" w:rsidRDefault="00EB2926">
      <w:r>
        <w:t>So from “unless signed, rejected” you may infer:</w:t>
      </w:r>
    </w:p>
    <w:p w14:paraId="1CEF2154" w14:textId="77777777" w:rsidR="00707C36" w:rsidRDefault="00EB2926">
      <w:pPr>
        <w:pStyle w:val="ListBullet"/>
      </w:pPr>
      <w:r>
        <w:t>No signature → rejection.</w:t>
      </w:r>
    </w:p>
    <w:p w14:paraId="1CDE58D4" w14:textId="77777777" w:rsidR="00707C36" w:rsidRDefault="00EB2926">
      <w:pPr>
        <w:pStyle w:val="ListBullet"/>
      </w:pPr>
      <w:r>
        <w:t>No rejection → signature.</w:t>
      </w:r>
    </w:p>
    <w:p w14:paraId="1902712B" w14:textId="77777777" w:rsidR="00707C36" w:rsidRDefault="00EB2926">
      <w:r>
        <w:t>But you may not infer, without another rule:</w:t>
      </w:r>
    </w:p>
    <w:p w14:paraId="0DBC4249" w14:textId="77777777" w:rsidR="00707C36" w:rsidRDefault="00EB2926">
      <w:pPr>
        <w:pStyle w:val="ListBullet"/>
      </w:pPr>
      <w:r>
        <w:t>Signature → no rejection.</w:t>
      </w:r>
    </w:p>
    <w:p w14:paraId="0A479ED3" w14:textId="77777777" w:rsidR="00707C36" w:rsidRDefault="00EB2926">
      <w:pPr>
        <w:pStyle w:val="ListBullet"/>
      </w:pPr>
      <w:r>
        <w:t>Rejection → no signature.</w:t>
      </w:r>
    </w:p>
    <w:p w14:paraId="15E4919E" w14:textId="77777777" w:rsidR="0042722C" w:rsidRDefault="0042722C">
      <w:pPr>
        <w:pStyle w:val="Callout"/>
        <w:rPr>
          <w:b/>
        </w:rPr>
      </w:pPr>
    </w:p>
    <w:p w14:paraId="78A4AFE2" w14:textId="6B9A34B2" w:rsidR="00707C36" w:rsidRDefault="00EB2926">
      <w:pPr>
        <w:pStyle w:val="Callout"/>
      </w:pPr>
      <w:r>
        <w:rPr>
          <w:b/>
        </w:rPr>
        <w:t>Question that fits this mistake</w:t>
      </w:r>
      <w:r>
        <w:br/>
        <w:t>Does signing guarantee that the application will not be rejected, or does the rule only guarantee rejection when a signature is missing?</w:t>
      </w:r>
    </w:p>
    <w:p w14:paraId="2692DFA3" w14:textId="77777777" w:rsidR="0042722C" w:rsidRDefault="0042722C">
      <w:pPr>
        <w:pStyle w:val="Callout"/>
      </w:pPr>
    </w:p>
    <w:p w14:paraId="60FC69E2" w14:textId="77777777" w:rsidR="00707C36" w:rsidRDefault="00EB2926">
      <w:pPr>
        <w:pStyle w:val="Exercise"/>
      </w:pPr>
      <w:r>
        <w:rPr>
          <w:b/>
        </w:rPr>
        <w:lastRenderedPageBreak/>
        <w:t xml:space="preserve">E1. </w:t>
      </w:r>
      <w:r>
        <w:t>“Unless a customer enters the promotion code, the delivery fee is charged.” The customer entered the code. Does it follow that no delivery fee was charged? Explain.</w:t>
      </w:r>
    </w:p>
    <w:p w14:paraId="4E76FBCF" w14:textId="77777777" w:rsidR="00707C36" w:rsidRDefault="00707C36">
      <w:pPr>
        <w:pStyle w:val="AnswerSpace"/>
      </w:pPr>
    </w:p>
    <w:p w14:paraId="7FA333F4" w14:textId="77777777" w:rsidR="0042722C" w:rsidRDefault="0042722C">
      <w:pPr>
        <w:pStyle w:val="AnswerSpace"/>
      </w:pPr>
    </w:p>
    <w:p w14:paraId="168C9FE9" w14:textId="77777777" w:rsidR="0042722C" w:rsidRDefault="0042722C">
      <w:pPr>
        <w:pStyle w:val="AnswerSpace"/>
      </w:pPr>
    </w:p>
    <w:p w14:paraId="45A725F1" w14:textId="77777777" w:rsidR="00707C36" w:rsidRDefault="00EB2926">
      <w:pPr>
        <w:pStyle w:val="Exercise"/>
      </w:pPr>
      <w:r>
        <w:rPr>
          <w:b/>
        </w:rPr>
        <w:t xml:space="preserve">E2. </w:t>
      </w:r>
      <w:r>
        <w:t>Under the same rule, the customer was not charged a delivery fee. What follows about whether the code was entered?</w:t>
      </w:r>
    </w:p>
    <w:p w14:paraId="38675E0D" w14:textId="77777777" w:rsidR="00707C36" w:rsidRDefault="00707C36">
      <w:pPr>
        <w:pStyle w:val="AnswerSpace"/>
      </w:pPr>
    </w:p>
    <w:p w14:paraId="35ABBC45" w14:textId="77777777" w:rsidR="0042722C" w:rsidRDefault="0042722C">
      <w:pPr>
        <w:pStyle w:val="AnswerSpace"/>
      </w:pPr>
    </w:p>
    <w:p w14:paraId="708FE7D8" w14:textId="77777777" w:rsidR="00707C36" w:rsidRDefault="00EB2926">
      <w:pPr>
        <w:pStyle w:val="Heading1"/>
      </w:pPr>
      <w:r>
        <w:t>VIII. “If and Only If”: Now Both Directions Are Actually Given</w:t>
      </w:r>
    </w:p>
    <w:p w14:paraId="5BBE427A" w14:textId="77777777" w:rsidR="00707C36" w:rsidRDefault="00EB2926">
      <w:r>
        <w:t>Sometimes the stronger relationship really is part of the rule. “If and only if” gives both directions.</w:t>
      </w:r>
    </w:p>
    <w:p w14:paraId="2D0929A6" w14:textId="77777777" w:rsidR="00707C36" w:rsidRDefault="00EB2926">
      <w:pPr>
        <w:pStyle w:val="Case"/>
      </w:pPr>
      <w:r>
        <w:t>“You receive free admission if and only if you present the voucher.”</w:t>
      </w:r>
    </w:p>
    <w:p w14:paraId="538F8B49" w14:textId="77777777" w:rsidR="00707C36" w:rsidRDefault="00EB2926">
      <w:r>
        <w:t>This says two things at once:</w:t>
      </w:r>
    </w:p>
    <w:p w14:paraId="44DF6262" w14:textId="77777777" w:rsidR="00707C36" w:rsidRDefault="00EB2926">
      <w:pPr>
        <w:pStyle w:val="ListBullet"/>
      </w:pPr>
      <w:r>
        <w:t>Voucher → free admission. The voucher is enough.</w:t>
      </w:r>
    </w:p>
    <w:p w14:paraId="48CE34E6" w14:textId="77777777" w:rsidR="00707C36" w:rsidRDefault="00EB2926">
      <w:pPr>
        <w:pStyle w:val="ListBullet"/>
      </w:pPr>
      <w:r>
        <w:t>Free admission → voucher. The voucher is required.</w:t>
      </w:r>
    </w:p>
    <w:p w14:paraId="29D03997" w14:textId="77777777" w:rsidR="00707C36" w:rsidRDefault="00EB2926">
      <w:r>
        <w:t>We write a biconditional as P ↔ Q. Now both mismatched cases are forbidden: P without Q and Q without 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936"/>
        <w:gridCol w:w="1296"/>
        <w:gridCol w:w="7128"/>
      </w:tblGrid>
      <w:tr w:rsidR="00707C36" w14:paraId="40583245" w14:textId="77777777" w:rsidTr="0042722C">
        <w:trPr>
          <w:cantSplit/>
          <w:tblHeader/>
          <w:jc w:val="center"/>
        </w:trPr>
        <w:tc>
          <w:tcPr>
            <w:tcW w:w="936" w:type="dxa"/>
            <w:shd w:val="clear" w:color="auto" w:fill="E7E7E7"/>
            <w:tcMar>
              <w:top w:w="70" w:type="dxa"/>
              <w:left w:w="80" w:type="dxa"/>
              <w:bottom w:w="70" w:type="dxa"/>
              <w:right w:w="80" w:type="dxa"/>
            </w:tcMar>
            <w:vAlign w:val="center"/>
          </w:tcPr>
          <w:p w14:paraId="343E2E1F" w14:textId="77777777" w:rsidR="00707C36" w:rsidRDefault="00EB2926">
            <w:pPr>
              <w:pStyle w:val="TableText"/>
              <w:jc w:val="center"/>
            </w:pPr>
            <w:r>
              <w:rPr>
                <w:b/>
              </w:rPr>
              <w:t>P</w:t>
            </w:r>
          </w:p>
        </w:tc>
        <w:tc>
          <w:tcPr>
            <w:tcW w:w="936" w:type="dxa"/>
            <w:shd w:val="clear" w:color="auto" w:fill="E7E7E7"/>
            <w:tcMar>
              <w:top w:w="70" w:type="dxa"/>
              <w:left w:w="80" w:type="dxa"/>
              <w:bottom w:w="70" w:type="dxa"/>
              <w:right w:w="80" w:type="dxa"/>
            </w:tcMar>
            <w:vAlign w:val="center"/>
          </w:tcPr>
          <w:p w14:paraId="507C340D" w14:textId="77777777" w:rsidR="00707C36" w:rsidRDefault="00EB2926">
            <w:pPr>
              <w:pStyle w:val="TableText"/>
              <w:jc w:val="center"/>
            </w:pPr>
            <w:r>
              <w:rPr>
                <w:b/>
              </w:rPr>
              <w:t>Q</w:t>
            </w:r>
          </w:p>
        </w:tc>
        <w:tc>
          <w:tcPr>
            <w:tcW w:w="1296" w:type="dxa"/>
            <w:shd w:val="clear" w:color="auto" w:fill="E7E7E7"/>
            <w:tcMar>
              <w:top w:w="70" w:type="dxa"/>
              <w:left w:w="80" w:type="dxa"/>
              <w:bottom w:w="70" w:type="dxa"/>
              <w:right w:w="80" w:type="dxa"/>
            </w:tcMar>
            <w:vAlign w:val="center"/>
          </w:tcPr>
          <w:p w14:paraId="47E5B9ED" w14:textId="77777777" w:rsidR="00707C36" w:rsidRDefault="00EB2926">
            <w:pPr>
              <w:pStyle w:val="TableText"/>
              <w:jc w:val="center"/>
            </w:pPr>
            <w:r>
              <w:rPr>
                <w:b/>
              </w:rPr>
              <w:t>P ↔ Q</w:t>
            </w:r>
          </w:p>
        </w:tc>
        <w:tc>
          <w:tcPr>
            <w:tcW w:w="7128" w:type="dxa"/>
            <w:shd w:val="clear" w:color="auto" w:fill="E7E7E7"/>
            <w:tcMar>
              <w:top w:w="70" w:type="dxa"/>
              <w:left w:w="80" w:type="dxa"/>
              <w:bottom w:w="70" w:type="dxa"/>
              <w:right w:w="80" w:type="dxa"/>
            </w:tcMar>
            <w:vAlign w:val="center"/>
          </w:tcPr>
          <w:p w14:paraId="531AA5D1" w14:textId="77777777" w:rsidR="00707C36" w:rsidRDefault="00EB2926">
            <w:pPr>
              <w:pStyle w:val="TableText"/>
            </w:pPr>
            <w:r>
              <w:rPr>
                <w:b/>
              </w:rPr>
              <w:t>What it means</w:t>
            </w:r>
          </w:p>
        </w:tc>
      </w:tr>
      <w:tr w:rsidR="00707C36" w14:paraId="1FEB889C" w14:textId="77777777" w:rsidTr="0042722C">
        <w:trPr>
          <w:cantSplit/>
          <w:jc w:val="center"/>
        </w:trPr>
        <w:tc>
          <w:tcPr>
            <w:tcW w:w="936" w:type="dxa"/>
            <w:tcMar>
              <w:top w:w="70" w:type="dxa"/>
              <w:left w:w="80" w:type="dxa"/>
              <w:bottom w:w="70" w:type="dxa"/>
              <w:right w:w="80" w:type="dxa"/>
            </w:tcMar>
            <w:vAlign w:val="center"/>
          </w:tcPr>
          <w:p w14:paraId="128D57C3" w14:textId="77777777" w:rsidR="00707C36" w:rsidRDefault="00EB2926">
            <w:pPr>
              <w:pStyle w:val="TableText"/>
              <w:jc w:val="center"/>
            </w:pPr>
            <w:r>
              <w:t>T</w:t>
            </w:r>
          </w:p>
        </w:tc>
        <w:tc>
          <w:tcPr>
            <w:tcW w:w="936" w:type="dxa"/>
            <w:tcMar>
              <w:top w:w="70" w:type="dxa"/>
              <w:left w:w="80" w:type="dxa"/>
              <w:bottom w:w="70" w:type="dxa"/>
              <w:right w:w="80" w:type="dxa"/>
            </w:tcMar>
            <w:vAlign w:val="center"/>
          </w:tcPr>
          <w:p w14:paraId="536C8D62" w14:textId="77777777" w:rsidR="00707C36" w:rsidRDefault="00EB2926">
            <w:pPr>
              <w:pStyle w:val="TableText"/>
              <w:jc w:val="center"/>
            </w:pPr>
            <w:r>
              <w:t>T</w:t>
            </w:r>
          </w:p>
        </w:tc>
        <w:tc>
          <w:tcPr>
            <w:tcW w:w="1296" w:type="dxa"/>
            <w:tcMar>
              <w:top w:w="70" w:type="dxa"/>
              <w:left w:w="80" w:type="dxa"/>
              <w:bottom w:w="70" w:type="dxa"/>
              <w:right w:w="80" w:type="dxa"/>
            </w:tcMar>
            <w:vAlign w:val="center"/>
          </w:tcPr>
          <w:p w14:paraId="0678D5A0" w14:textId="77777777" w:rsidR="00707C36" w:rsidRDefault="00EB2926">
            <w:pPr>
              <w:pStyle w:val="TableText"/>
              <w:jc w:val="center"/>
            </w:pPr>
            <w:r>
              <w:t>T</w:t>
            </w:r>
          </w:p>
        </w:tc>
        <w:tc>
          <w:tcPr>
            <w:tcW w:w="7128" w:type="dxa"/>
            <w:tcMar>
              <w:top w:w="70" w:type="dxa"/>
              <w:left w:w="80" w:type="dxa"/>
              <w:bottom w:w="70" w:type="dxa"/>
              <w:right w:w="80" w:type="dxa"/>
            </w:tcMar>
            <w:vAlign w:val="center"/>
          </w:tcPr>
          <w:p w14:paraId="64A8199D" w14:textId="77777777" w:rsidR="00707C36" w:rsidRDefault="00EB2926">
            <w:pPr>
              <w:pStyle w:val="TableText"/>
            </w:pPr>
            <w:r>
              <w:t>They match.</w:t>
            </w:r>
          </w:p>
        </w:tc>
      </w:tr>
      <w:tr w:rsidR="00707C36" w14:paraId="0705EBFE" w14:textId="77777777" w:rsidTr="0042722C">
        <w:trPr>
          <w:cantSplit/>
          <w:jc w:val="center"/>
        </w:trPr>
        <w:tc>
          <w:tcPr>
            <w:tcW w:w="936" w:type="dxa"/>
            <w:tcMar>
              <w:top w:w="70" w:type="dxa"/>
              <w:left w:w="80" w:type="dxa"/>
              <w:bottom w:w="70" w:type="dxa"/>
              <w:right w:w="80" w:type="dxa"/>
            </w:tcMar>
            <w:vAlign w:val="center"/>
          </w:tcPr>
          <w:p w14:paraId="29E483B8" w14:textId="77777777" w:rsidR="00707C36" w:rsidRDefault="00EB2926">
            <w:pPr>
              <w:pStyle w:val="TableText"/>
              <w:jc w:val="center"/>
            </w:pPr>
            <w:r>
              <w:t>T</w:t>
            </w:r>
          </w:p>
        </w:tc>
        <w:tc>
          <w:tcPr>
            <w:tcW w:w="936" w:type="dxa"/>
            <w:tcMar>
              <w:top w:w="70" w:type="dxa"/>
              <w:left w:w="80" w:type="dxa"/>
              <w:bottom w:w="70" w:type="dxa"/>
              <w:right w:w="80" w:type="dxa"/>
            </w:tcMar>
            <w:vAlign w:val="center"/>
          </w:tcPr>
          <w:p w14:paraId="3E9DE26A" w14:textId="77777777" w:rsidR="00707C36" w:rsidRDefault="00EB2926">
            <w:pPr>
              <w:pStyle w:val="TableText"/>
              <w:jc w:val="center"/>
            </w:pPr>
            <w:r>
              <w:t>F</w:t>
            </w:r>
          </w:p>
        </w:tc>
        <w:tc>
          <w:tcPr>
            <w:tcW w:w="1296" w:type="dxa"/>
            <w:tcMar>
              <w:top w:w="70" w:type="dxa"/>
              <w:left w:w="80" w:type="dxa"/>
              <w:bottom w:w="70" w:type="dxa"/>
              <w:right w:w="80" w:type="dxa"/>
            </w:tcMar>
            <w:vAlign w:val="center"/>
          </w:tcPr>
          <w:p w14:paraId="4A03DBAB" w14:textId="77777777" w:rsidR="00707C36" w:rsidRDefault="00EB2926">
            <w:pPr>
              <w:pStyle w:val="TableText"/>
              <w:jc w:val="center"/>
            </w:pPr>
            <w:r>
              <w:t>F</w:t>
            </w:r>
          </w:p>
        </w:tc>
        <w:tc>
          <w:tcPr>
            <w:tcW w:w="7128" w:type="dxa"/>
            <w:tcMar>
              <w:top w:w="70" w:type="dxa"/>
              <w:left w:w="80" w:type="dxa"/>
              <w:bottom w:w="70" w:type="dxa"/>
              <w:right w:w="80" w:type="dxa"/>
            </w:tcMar>
            <w:vAlign w:val="center"/>
          </w:tcPr>
          <w:p w14:paraId="110EFCD3" w14:textId="77777777" w:rsidR="00707C36" w:rsidRDefault="00EB2926">
            <w:pPr>
              <w:pStyle w:val="TableText"/>
            </w:pPr>
            <w:r>
              <w:t>P without Q is forbidden.</w:t>
            </w:r>
          </w:p>
        </w:tc>
      </w:tr>
      <w:tr w:rsidR="00707C36" w14:paraId="5A3F2F3F" w14:textId="77777777" w:rsidTr="0042722C">
        <w:trPr>
          <w:cantSplit/>
          <w:jc w:val="center"/>
        </w:trPr>
        <w:tc>
          <w:tcPr>
            <w:tcW w:w="936" w:type="dxa"/>
            <w:tcMar>
              <w:top w:w="70" w:type="dxa"/>
              <w:left w:w="80" w:type="dxa"/>
              <w:bottom w:w="70" w:type="dxa"/>
              <w:right w:w="80" w:type="dxa"/>
            </w:tcMar>
            <w:vAlign w:val="center"/>
          </w:tcPr>
          <w:p w14:paraId="093B31BD" w14:textId="77777777" w:rsidR="00707C36" w:rsidRDefault="00EB2926">
            <w:pPr>
              <w:pStyle w:val="TableText"/>
              <w:jc w:val="center"/>
            </w:pPr>
            <w:r>
              <w:t>F</w:t>
            </w:r>
          </w:p>
        </w:tc>
        <w:tc>
          <w:tcPr>
            <w:tcW w:w="936" w:type="dxa"/>
            <w:tcMar>
              <w:top w:w="70" w:type="dxa"/>
              <w:left w:w="80" w:type="dxa"/>
              <w:bottom w:w="70" w:type="dxa"/>
              <w:right w:w="80" w:type="dxa"/>
            </w:tcMar>
            <w:vAlign w:val="center"/>
          </w:tcPr>
          <w:p w14:paraId="3EEFD78F" w14:textId="77777777" w:rsidR="00707C36" w:rsidRDefault="00EB2926">
            <w:pPr>
              <w:pStyle w:val="TableText"/>
              <w:jc w:val="center"/>
            </w:pPr>
            <w:r>
              <w:t>T</w:t>
            </w:r>
          </w:p>
        </w:tc>
        <w:tc>
          <w:tcPr>
            <w:tcW w:w="1296" w:type="dxa"/>
            <w:tcMar>
              <w:top w:w="70" w:type="dxa"/>
              <w:left w:w="80" w:type="dxa"/>
              <w:bottom w:w="70" w:type="dxa"/>
              <w:right w:w="80" w:type="dxa"/>
            </w:tcMar>
            <w:vAlign w:val="center"/>
          </w:tcPr>
          <w:p w14:paraId="122D4FC2" w14:textId="77777777" w:rsidR="00707C36" w:rsidRDefault="00EB2926">
            <w:pPr>
              <w:pStyle w:val="TableText"/>
              <w:jc w:val="center"/>
            </w:pPr>
            <w:r>
              <w:t>F</w:t>
            </w:r>
          </w:p>
        </w:tc>
        <w:tc>
          <w:tcPr>
            <w:tcW w:w="7128" w:type="dxa"/>
            <w:tcMar>
              <w:top w:w="70" w:type="dxa"/>
              <w:left w:w="80" w:type="dxa"/>
              <w:bottom w:w="70" w:type="dxa"/>
              <w:right w:w="80" w:type="dxa"/>
            </w:tcMar>
            <w:vAlign w:val="center"/>
          </w:tcPr>
          <w:p w14:paraId="6F5991E7" w14:textId="77777777" w:rsidR="00707C36" w:rsidRDefault="00EB2926">
            <w:pPr>
              <w:pStyle w:val="TableText"/>
            </w:pPr>
            <w:r>
              <w:t>Q without P is forbidden.</w:t>
            </w:r>
          </w:p>
        </w:tc>
      </w:tr>
      <w:tr w:rsidR="00707C36" w14:paraId="2538E2E1" w14:textId="77777777" w:rsidTr="0042722C">
        <w:trPr>
          <w:cantSplit/>
          <w:jc w:val="center"/>
        </w:trPr>
        <w:tc>
          <w:tcPr>
            <w:tcW w:w="936" w:type="dxa"/>
            <w:tcMar>
              <w:top w:w="70" w:type="dxa"/>
              <w:left w:w="80" w:type="dxa"/>
              <w:bottom w:w="70" w:type="dxa"/>
              <w:right w:w="80" w:type="dxa"/>
            </w:tcMar>
            <w:vAlign w:val="center"/>
          </w:tcPr>
          <w:p w14:paraId="4504661E" w14:textId="77777777" w:rsidR="00707C36" w:rsidRDefault="00EB2926">
            <w:pPr>
              <w:pStyle w:val="TableText"/>
              <w:jc w:val="center"/>
            </w:pPr>
            <w:r>
              <w:t>F</w:t>
            </w:r>
          </w:p>
        </w:tc>
        <w:tc>
          <w:tcPr>
            <w:tcW w:w="936" w:type="dxa"/>
            <w:tcMar>
              <w:top w:w="70" w:type="dxa"/>
              <w:left w:w="80" w:type="dxa"/>
              <w:bottom w:w="70" w:type="dxa"/>
              <w:right w:w="80" w:type="dxa"/>
            </w:tcMar>
            <w:vAlign w:val="center"/>
          </w:tcPr>
          <w:p w14:paraId="54CE6BC2" w14:textId="77777777" w:rsidR="00707C36" w:rsidRDefault="00EB2926">
            <w:pPr>
              <w:pStyle w:val="TableText"/>
              <w:jc w:val="center"/>
            </w:pPr>
            <w:r>
              <w:t>F</w:t>
            </w:r>
          </w:p>
        </w:tc>
        <w:tc>
          <w:tcPr>
            <w:tcW w:w="1296" w:type="dxa"/>
            <w:tcMar>
              <w:top w:w="70" w:type="dxa"/>
              <w:left w:w="80" w:type="dxa"/>
              <w:bottom w:w="70" w:type="dxa"/>
              <w:right w:w="80" w:type="dxa"/>
            </w:tcMar>
            <w:vAlign w:val="center"/>
          </w:tcPr>
          <w:p w14:paraId="0E08C9AC" w14:textId="77777777" w:rsidR="00707C36" w:rsidRDefault="00EB2926">
            <w:pPr>
              <w:pStyle w:val="TableText"/>
              <w:jc w:val="center"/>
            </w:pPr>
            <w:r>
              <w:t>T</w:t>
            </w:r>
          </w:p>
        </w:tc>
        <w:tc>
          <w:tcPr>
            <w:tcW w:w="7128" w:type="dxa"/>
            <w:tcMar>
              <w:top w:w="70" w:type="dxa"/>
              <w:left w:w="80" w:type="dxa"/>
              <w:bottom w:w="70" w:type="dxa"/>
              <w:right w:w="80" w:type="dxa"/>
            </w:tcMar>
            <w:vAlign w:val="center"/>
          </w:tcPr>
          <w:p w14:paraId="022D76F2" w14:textId="77777777" w:rsidR="00707C36" w:rsidRDefault="00EB2926">
            <w:pPr>
              <w:pStyle w:val="TableText"/>
            </w:pPr>
            <w:r>
              <w:t>They match.</w:t>
            </w:r>
          </w:p>
        </w:tc>
      </w:tr>
    </w:tbl>
    <w:p w14:paraId="1A3264F2" w14:textId="77777777" w:rsidR="0042722C" w:rsidRDefault="0042722C"/>
    <w:p w14:paraId="126497BA" w14:textId="3C33618E" w:rsidR="00707C36" w:rsidRDefault="00EB2926">
      <w:r>
        <w:t>Because both directions are supplied, you may reason from either side to the other, and from the absence of either side to the absence of the other. That does not mean P and Q are literally the same thing or that each causes the other. It means the rule requires their truth values to match.</w:t>
      </w:r>
    </w:p>
    <w:p w14:paraId="381D77B6" w14:textId="77777777" w:rsidR="00707C36" w:rsidRDefault="00EB2926">
      <w:pPr>
        <w:pStyle w:val="Exercise"/>
      </w:pPr>
      <w:r>
        <w:rPr>
          <w:b/>
        </w:rPr>
        <w:t xml:space="preserve">F1. </w:t>
      </w:r>
      <w:r>
        <w:t>“A submission is marked complete if and only if its confirmation code has been issued.” The code has been issued. What follows?</w:t>
      </w:r>
    </w:p>
    <w:p w14:paraId="5D866359" w14:textId="77777777" w:rsidR="00707C36" w:rsidRDefault="00707C36">
      <w:pPr>
        <w:pStyle w:val="AnswerSpace"/>
      </w:pPr>
    </w:p>
    <w:p w14:paraId="079E2C32" w14:textId="77777777" w:rsidR="00707C36" w:rsidRDefault="00EB2926">
      <w:pPr>
        <w:pStyle w:val="Exercise"/>
      </w:pPr>
      <w:r>
        <w:rPr>
          <w:b/>
        </w:rPr>
        <w:lastRenderedPageBreak/>
        <w:t xml:space="preserve">F2. </w:t>
      </w:r>
      <w:r>
        <w:t>Under the same biconditional, the code has not been issued. What follows? How would your answer change if the rule said only, “If a submission is marked complete, its confirmation code has been issued”?</w:t>
      </w:r>
    </w:p>
    <w:p w14:paraId="5A122BFD" w14:textId="77777777" w:rsidR="00707C36" w:rsidRDefault="00707C36">
      <w:pPr>
        <w:pStyle w:val="AnswerSpace"/>
      </w:pPr>
    </w:p>
    <w:p w14:paraId="255825F2" w14:textId="77777777" w:rsidR="0042722C" w:rsidRDefault="0042722C">
      <w:pPr>
        <w:pStyle w:val="AnswerSpace"/>
      </w:pPr>
    </w:p>
    <w:p w14:paraId="062E8119" w14:textId="77777777" w:rsidR="00707C36" w:rsidRDefault="00EB2926">
      <w:pPr>
        <w:pStyle w:val="Heading1"/>
      </w:pPr>
      <w:r>
        <w:t>IX. Turn the Open Case Into a Diagnostic Question</w:t>
      </w:r>
    </w:p>
    <w:p w14:paraId="411B5D0C" w14:textId="77777777" w:rsidR="00707C36" w:rsidRDefault="00EB2926">
      <w:r>
        <w:t>On an assessment, your final response should usually be in ordinary language. A truth table is the thinking aid that shows you what remains possible. Your diagnostic question asks for the extra relationship that would rule that possibility out.</w:t>
      </w:r>
    </w:p>
    <w:p w14:paraId="51CD5B57" w14:textId="77777777" w:rsidR="00707C36" w:rsidRDefault="00EB2926">
      <w:r>
        <w:t>Here is a full example:</w:t>
      </w:r>
    </w:p>
    <w:p w14:paraId="4E360B78" w14:textId="77777777" w:rsidR="00707C36" w:rsidRDefault="00EB2926">
      <w:pPr>
        <w:pStyle w:val="Case"/>
      </w:pPr>
      <w:r>
        <w:t>“An employee is authorized to supervise interns only if the employee has completed the supervision training. Dana completed the training, so Dana is authorized to supervise interns.”</w:t>
      </w:r>
    </w:p>
    <w:p w14:paraId="0A62E5E5" w14:textId="77777777" w:rsidR="00707C36" w:rsidRDefault="00EB2926">
      <w:r>
        <w:t>“Authorized only if trained” means authorized → trained. We are also told trained. Two cases still fit: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872"/>
        <w:gridCol w:w="6984"/>
      </w:tblGrid>
      <w:tr w:rsidR="00707C36" w14:paraId="14406B5F" w14:textId="77777777" w:rsidTr="00C26BB8">
        <w:trPr>
          <w:cantSplit/>
          <w:tblHeader/>
          <w:jc w:val="center"/>
        </w:trPr>
        <w:tc>
          <w:tcPr>
            <w:tcW w:w="1872" w:type="dxa"/>
            <w:shd w:val="clear" w:color="auto" w:fill="E7E7E7"/>
            <w:tcMar>
              <w:top w:w="70" w:type="dxa"/>
              <w:left w:w="80" w:type="dxa"/>
              <w:bottom w:w="70" w:type="dxa"/>
              <w:right w:w="80" w:type="dxa"/>
            </w:tcMar>
            <w:vAlign w:val="center"/>
          </w:tcPr>
          <w:p w14:paraId="0F1A39DE" w14:textId="77777777" w:rsidR="00707C36" w:rsidRDefault="00EB2926">
            <w:pPr>
              <w:pStyle w:val="TableText"/>
            </w:pPr>
            <w:r>
              <w:rPr>
                <w:b/>
              </w:rPr>
              <w:t>Authorized?</w:t>
            </w:r>
          </w:p>
        </w:tc>
        <w:tc>
          <w:tcPr>
            <w:tcW w:w="1872" w:type="dxa"/>
            <w:shd w:val="clear" w:color="auto" w:fill="E7E7E7"/>
            <w:tcMar>
              <w:top w:w="70" w:type="dxa"/>
              <w:left w:w="80" w:type="dxa"/>
              <w:bottom w:w="70" w:type="dxa"/>
              <w:right w:w="80" w:type="dxa"/>
            </w:tcMar>
            <w:vAlign w:val="center"/>
          </w:tcPr>
          <w:p w14:paraId="7C2AAB8C" w14:textId="77777777" w:rsidR="00707C36" w:rsidRDefault="00EB2926">
            <w:pPr>
              <w:pStyle w:val="TableText"/>
            </w:pPr>
            <w:r>
              <w:rPr>
                <w:b/>
              </w:rPr>
              <w:t>Trained?</w:t>
            </w:r>
          </w:p>
        </w:tc>
        <w:tc>
          <w:tcPr>
            <w:tcW w:w="6984" w:type="dxa"/>
            <w:shd w:val="clear" w:color="auto" w:fill="E7E7E7"/>
            <w:tcMar>
              <w:top w:w="70" w:type="dxa"/>
              <w:left w:w="80" w:type="dxa"/>
              <w:bottom w:w="70" w:type="dxa"/>
              <w:right w:w="80" w:type="dxa"/>
            </w:tcMar>
            <w:vAlign w:val="center"/>
          </w:tcPr>
          <w:p w14:paraId="0C041904" w14:textId="77777777" w:rsidR="00707C36" w:rsidRDefault="00EB2926">
            <w:pPr>
              <w:pStyle w:val="TableText"/>
            </w:pPr>
            <w:r>
              <w:rPr>
                <w:b/>
              </w:rPr>
              <w:t>What the case shows</w:t>
            </w:r>
          </w:p>
        </w:tc>
      </w:tr>
      <w:tr w:rsidR="00707C36" w14:paraId="5835047F" w14:textId="77777777" w:rsidTr="00C26BB8">
        <w:trPr>
          <w:cantSplit/>
          <w:jc w:val="center"/>
        </w:trPr>
        <w:tc>
          <w:tcPr>
            <w:tcW w:w="1872" w:type="dxa"/>
            <w:tcMar>
              <w:top w:w="70" w:type="dxa"/>
              <w:left w:w="80" w:type="dxa"/>
              <w:bottom w:w="70" w:type="dxa"/>
              <w:right w:w="80" w:type="dxa"/>
            </w:tcMar>
            <w:vAlign w:val="center"/>
          </w:tcPr>
          <w:p w14:paraId="0663E8D7" w14:textId="77777777" w:rsidR="00707C36" w:rsidRDefault="00EB2926">
            <w:pPr>
              <w:pStyle w:val="TableText"/>
            </w:pPr>
            <w:r>
              <w:t>Yes</w:t>
            </w:r>
          </w:p>
        </w:tc>
        <w:tc>
          <w:tcPr>
            <w:tcW w:w="1872" w:type="dxa"/>
            <w:tcMar>
              <w:top w:w="70" w:type="dxa"/>
              <w:left w:w="80" w:type="dxa"/>
              <w:bottom w:w="70" w:type="dxa"/>
              <w:right w:w="80" w:type="dxa"/>
            </w:tcMar>
            <w:vAlign w:val="center"/>
          </w:tcPr>
          <w:p w14:paraId="41E844F7" w14:textId="77777777" w:rsidR="00707C36" w:rsidRDefault="00EB2926">
            <w:pPr>
              <w:pStyle w:val="TableText"/>
            </w:pPr>
            <w:r>
              <w:t>Yes</w:t>
            </w:r>
          </w:p>
        </w:tc>
        <w:tc>
          <w:tcPr>
            <w:tcW w:w="6984" w:type="dxa"/>
            <w:tcMar>
              <w:top w:w="70" w:type="dxa"/>
              <w:left w:w="80" w:type="dxa"/>
              <w:bottom w:w="70" w:type="dxa"/>
              <w:right w:w="80" w:type="dxa"/>
            </w:tcMar>
            <w:vAlign w:val="center"/>
          </w:tcPr>
          <w:p w14:paraId="06AA8ECD" w14:textId="77777777" w:rsidR="00707C36" w:rsidRDefault="00EB2926">
            <w:pPr>
              <w:pStyle w:val="TableText"/>
            </w:pPr>
            <w:r>
              <w:t>Dana is trained and authorized.</w:t>
            </w:r>
          </w:p>
        </w:tc>
      </w:tr>
      <w:tr w:rsidR="00707C36" w14:paraId="58A045A1" w14:textId="77777777" w:rsidTr="00C26BB8">
        <w:trPr>
          <w:cantSplit/>
          <w:jc w:val="center"/>
        </w:trPr>
        <w:tc>
          <w:tcPr>
            <w:tcW w:w="1872" w:type="dxa"/>
            <w:tcMar>
              <w:top w:w="70" w:type="dxa"/>
              <w:left w:w="80" w:type="dxa"/>
              <w:bottom w:w="70" w:type="dxa"/>
              <w:right w:w="80" w:type="dxa"/>
            </w:tcMar>
            <w:vAlign w:val="center"/>
          </w:tcPr>
          <w:p w14:paraId="04FA548E" w14:textId="77777777" w:rsidR="00707C36" w:rsidRDefault="00EB2926">
            <w:pPr>
              <w:pStyle w:val="TableText"/>
            </w:pPr>
            <w:r>
              <w:t>No</w:t>
            </w:r>
          </w:p>
        </w:tc>
        <w:tc>
          <w:tcPr>
            <w:tcW w:w="1872" w:type="dxa"/>
            <w:tcMar>
              <w:top w:w="70" w:type="dxa"/>
              <w:left w:w="80" w:type="dxa"/>
              <w:bottom w:w="70" w:type="dxa"/>
              <w:right w:w="80" w:type="dxa"/>
            </w:tcMar>
            <w:vAlign w:val="center"/>
          </w:tcPr>
          <w:p w14:paraId="128A8BF4" w14:textId="77777777" w:rsidR="00707C36" w:rsidRDefault="00EB2926">
            <w:pPr>
              <w:pStyle w:val="TableText"/>
            </w:pPr>
            <w:r>
              <w:t>Yes</w:t>
            </w:r>
          </w:p>
        </w:tc>
        <w:tc>
          <w:tcPr>
            <w:tcW w:w="6984" w:type="dxa"/>
            <w:tcMar>
              <w:top w:w="70" w:type="dxa"/>
              <w:left w:w="80" w:type="dxa"/>
              <w:bottom w:w="70" w:type="dxa"/>
              <w:right w:w="80" w:type="dxa"/>
            </w:tcMar>
            <w:vAlign w:val="center"/>
          </w:tcPr>
          <w:p w14:paraId="6827C43D" w14:textId="77777777" w:rsidR="00707C36" w:rsidRDefault="00EB2926">
            <w:pPr>
              <w:pStyle w:val="TableText"/>
            </w:pPr>
            <w:r>
              <w:t>Dana is trained but not authorized.</w:t>
            </w:r>
          </w:p>
        </w:tc>
      </w:tr>
    </w:tbl>
    <w:p w14:paraId="379E845F" w14:textId="77777777" w:rsidR="00C26BB8" w:rsidRDefault="00C26BB8"/>
    <w:p w14:paraId="179C19CB" w14:textId="68344095" w:rsidR="00707C36" w:rsidRDefault="00EB2926">
      <w:r>
        <w:t>The second row is the exact problem. The conclusion needs us to rule out a person who completed the training but still lacks authorization.</w:t>
      </w:r>
    </w:p>
    <w:p w14:paraId="5A962E3A" w14:textId="77777777" w:rsidR="00707C36" w:rsidRDefault="00EB2926">
      <w:pPr>
        <w:pStyle w:val="Callout"/>
      </w:pPr>
      <w:r>
        <w:rPr>
          <w:b/>
        </w:rPr>
        <w:t>Strong diagnostic question</w:t>
      </w:r>
      <w:r>
        <w:br/>
        <w:t>Does completing the supervision training automatically authorize an employee, or can someone finish the training and still lack authorization?</w:t>
      </w:r>
    </w:p>
    <w:p w14:paraId="4E784AB9" w14:textId="77777777" w:rsidR="00707C36" w:rsidRDefault="00EB2926">
      <w:r>
        <w:t>If training is enough for authorization, Dana’s completion settles the conclusion. If training is only required and other conditions must also be met, the completion fact alone does not establish authorization.</w:t>
      </w:r>
    </w:p>
    <w:p w14:paraId="77D78B5F" w14:textId="77777777" w:rsidR="00707C36" w:rsidRDefault="00EB2926">
      <w:r>
        <w:t>Notice what the question is not doing. It is not asking whether Dana “really” finished training, whether the course was good, or whether Dana deserves authorization. Those may be interesting questions, but they do not test the conditional move being made.</w:t>
      </w:r>
    </w:p>
    <w:p w14:paraId="527248DD" w14:textId="77777777" w:rsidR="00D15D8B" w:rsidRDefault="00D15D8B"/>
    <w:p w14:paraId="230AB87F" w14:textId="77777777" w:rsidR="00707C36" w:rsidRDefault="00EB2926">
      <w:pPr>
        <w:pStyle w:val="Heading2"/>
      </w:pPr>
      <w:r>
        <w:lastRenderedPageBreak/>
        <w:t>Different mistakes need different questions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4"/>
        <w:gridCol w:w="6768"/>
      </w:tblGrid>
      <w:tr w:rsidR="00707C36" w14:paraId="260D659B" w14:textId="77777777" w:rsidTr="0012108B">
        <w:trPr>
          <w:cantSplit/>
          <w:tblHeader/>
          <w:jc w:val="center"/>
        </w:trPr>
        <w:tc>
          <w:tcPr>
            <w:tcW w:w="3744" w:type="dxa"/>
            <w:shd w:val="clear" w:color="auto" w:fill="E7E7E7"/>
            <w:tcMar>
              <w:top w:w="70" w:type="dxa"/>
              <w:left w:w="80" w:type="dxa"/>
              <w:bottom w:w="70" w:type="dxa"/>
              <w:right w:w="80" w:type="dxa"/>
            </w:tcMar>
            <w:vAlign w:val="center"/>
          </w:tcPr>
          <w:p w14:paraId="6D5492B6" w14:textId="77777777" w:rsidR="00707C36" w:rsidRDefault="00EB2926">
            <w:pPr>
              <w:pStyle w:val="TableText"/>
            </w:pPr>
            <w:r>
              <w:rPr>
                <w:b/>
              </w:rPr>
              <w:t>What the reasoning assumes</w:t>
            </w:r>
          </w:p>
        </w:tc>
        <w:tc>
          <w:tcPr>
            <w:tcW w:w="6768" w:type="dxa"/>
            <w:shd w:val="clear" w:color="auto" w:fill="E7E7E7"/>
            <w:tcMar>
              <w:top w:w="70" w:type="dxa"/>
              <w:left w:w="80" w:type="dxa"/>
              <w:bottom w:w="70" w:type="dxa"/>
              <w:right w:w="80" w:type="dxa"/>
            </w:tcMar>
            <w:vAlign w:val="center"/>
          </w:tcPr>
          <w:p w14:paraId="608D4142" w14:textId="77777777" w:rsidR="00707C36" w:rsidRDefault="00EB2926">
            <w:pPr>
              <w:pStyle w:val="TableText"/>
            </w:pPr>
            <w:r>
              <w:rPr>
                <w:b/>
              </w:rPr>
              <w:t>Question that targets it</w:t>
            </w:r>
          </w:p>
        </w:tc>
      </w:tr>
      <w:tr w:rsidR="00707C36" w14:paraId="049366F6" w14:textId="77777777" w:rsidTr="0012108B">
        <w:trPr>
          <w:cantSplit/>
          <w:jc w:val="center"/>
        </w:trPr>
        <w:tc>
          <w:tcPr>
            <w:tcW w:w="3744" w:type="dxa"/>
            <w:tcMar>
              <w:top w:w="70" w:type="dxa"/>
              <w:left w:w="80" w:type="dxa"/>
              <w:bottom w:w="70" w:type="dxa"/>
              <w:right w:w="80" w:type="dxa"/>
            </w:tcMar>
            <w:vAlign w:val="center"/>
          </w:tcPr>
          <w:p w14:paraId="6AFFC2F9" w14:textId="77777777" w:rsidR="00707C36" w:rsidRDefault="00EB2926">
            <w:pPr>
              <w:pStyle w:val="TableText"/>
            </w:pPr>
            <w:r>
              <w:t>Meeting a requirement is enough for the result.</w:t>
            </w:r>
          </w:p>
        </w:tc>
        <w:tc>
          <w:tcPr>
            <w:tcW w:w="6768" w:type="dxa"/>
            <w:tcMar>
              <w:top w:w="70" w:type="dxa"/>
              <w:left w:w="80" w:type="dxa"/>
              <w:bottom w:w="70" w:type="dxa"/>
              <w:right w:w="80" w:type="dxa"/>
            </w:tcMar>
            <w:vAlign w:val="center"/>
          </w:tcPr>
          <w:p w14:paraId="70E7B839" w14:textId="77777777" w:rsidR="00707C36" w:rsidRDefault="00EB2926">
            <w:pPr>
              <w:pStyle w:val="TableText"/>
            </w:pPr>
            <w:r>
              <w:t>Does meeting this requirement guarantee the result, or can the requirement be met without the result?</w:t>
            </w:r>
          </w:p>
        </w:tc>
      </w:tr>
      <w:tr w:rsidR="00707C36" w14:paraId="24BE86FE" w14:textId="77777777" w:rsidTr="0012108B">
        <w:trPr>
          <w:cantSplit/>
          <w:jc w:val="center"/>
        </w:trPr>
        <w:tc>
          <w:tcPr>
            <w:tcW w:w="3744" w:type="dxa"/>
            <w:tcMar>
              <w:top w:w="70" w:type="dxa"/>
              <w:left w:w="80" w:type="dxa"/>
              <w:bottom w:w="70" w:type="dxa"/>
              <w:right w:w="80" w:type="dxa"/>
            </w:tcMar>
            <w:vAlign w:val="center"/>
          </w:tcPr>
          <w:p w14:paraId="25E18F69" w14:textId="77777777" w:rsidR="00707C36" w:rsidRDefault="00EB2926">
            <w:pPr>
              <w:pStyle w:val="TableText"/>
            </w:pPr>
            <w:r>
              <w:t>An observed result proves the stated trigger.</w:t>
            </w:r>
          </w:p>
        </w:tc>
        <w:tc>
          <w:tcPr>
            <w:tcW w:w="6768" w:type="dxa"/>
            <w:tcMar>
              <w:top w:w="70" w:type="dxa"/>
              <w:left w:w="80" w:type="dxa"/>
              <w:bottom w:w="70" w:type="dxa"/>
              <w:right w:w="80" w:type="dxa"/>
            </w:tcMar>
            <w:vAlign w:val="center"/>
          </w:tcPr>
          <w:p w14:paraId="594770C8" w14:textId="77777777" w:rsidR="00707C36" w:rsidRDefault="00EB2926">
            <w:pPr>
              <w:pStyle w:val="TableText"/>
            </w:pPr>
            <w:r>
              <w:t>Is this trigger the only way the result can happen?</w:t>
            </w:r>
          </w:p>
        </w:tc>
      </w:tr>
      <w:tr w:rsidR="00707C36" w14:paraId="2C68CC40" w14:textId="77777777" w:rsidTr="0012108B">
        <w:trPr>
          <w:cantSplit/>
          <w:jc w:val="center"/>
        </w:trPr>
        <w:tc>
          <w:tcPr>
            <w:tcW w:w="3744" w:type="dxa"/>
            <w:tcMar>
              <w:top w:w="70" w:type="dxa"/>
              <w:left w:w="80" w:type="dxa"/>
              <w:bottom w:w="70" w:type="dxa"/>
              <w:right w:w="80" w:type="dxa"/>
            </w:tcMar>
            <w:vAlign w:val="center"/>
          </w:tcPr>
          <w:p w14:paraId="3C4D8C0D" w14:textId="77777777" w:rsidR="00707C36" w:rsidRDefault="00EB2926">
            <w:pPr>
              <w:pStyle w:val="TableText"/>
            </w:pPr>
            <w:r>
              <w:t>Losing one sufficient route makes the result impossible.</w:t>
            </w:r>
          </w:p>
        </w:tc>
        <w:tc>
          <w:tcPr>
            <w:tcW w:w="6768" w:type="dxa"/>
            <w:tcMar>
              <w:top w:w="70" w:type="dxa"/>
              <w:left w:w="80" w:type="dxa"/>
              <w:bottom w:w="70" w:type="dxa"/>
              <w:right w:w="80" w:type="dxa"/>
            </w:tcMar>
            <w:vAlign w:val="center"/>
          </w:tcPr>
          <w:p w14:paraId="06029708" w14:textId="77777777" w:rsidR="00707C36" w:rsidRDefault="00EB2926">
            <w:pPr>
              <w:pStyle w:val="TableText"/>
            </w:pPr>
            <w:r>
              <w:t>Can the result occur without this route, or is the route actually required?</w:t>
            </w:r>
          </w:p>
        </w:tc>
      </w:tr>
      <w:tr w:rsidR="00707C36" w14:paraId="654CFFEA" w14:textId="77777777" w:rsidTr="0012108B">
        <w:trPr>
          <w:cantSplit/>
          <w:jc w:val="center"/>
        </w:trPr>
        <w:tc>
          <w:tcPr>
            <w:tcW w:w="3744" w:type="dxa"/>
            <w:tcMar>
              <w:top w:w="70" w:type="dxa"/>
              <w:left w:w="80" w:type="dxa"/>
              <w:bottom w:w="70" w:type="dxa"/>
              <w:right w:w="80" w:type="dxa"/>
            </w:tcMar>
            <w:vAlign w:val="center"/>
          </w:tcPr>
          <w:p w14:paraId="4B706B85" w14:textId="77777777" w:rsidR="00707C36" w:rsidRDefault="00EB2926">
            <w:pPr>
              <w:pStyle w:val="TableText"/>
            </w:pPr>
            <w:r>
              <w:t>An “unless” condition guarantees the opposite outcome.</w:t>
            </w:r>
          </w:p>
        </w:tc>
        <w:tc>
          <w:tcPr>
            <w:tcW w:w="6768" w:type="dxa"/>
            <w:tcMar>
              <w:top w:w="70" w:type="dxa"/>
              <w:left w:w="80" w:type="dxa"/>
              <w:bottom w:w="70" w:type="dxa"/>
              <w:right w:w="80" w:type="dxa"/>
            </w:tcMar>
            <w:vAlign w:val="center"/>
          </w:tcPr>
          <w:p w14:paraId="32D9B6F7" w14:textId="77777777" w:rsidR="00707C36" w:rsidRDefault="00EB2926">
            <w:pPr>
              <w:pStyle w:val="TableText"/>
            </w:pPr>
            <w:r>
              <w:t>Does meeting the condition guarantee the opposite result, or does it merely stop this rule from forcing the stated result?</w:t>
            </w:r>
          </w:p>
        </w:tc>
      </w:tr>
      <w:tr w:rsidR="00707C36" w14:paraId="65D86136" w14:textId="77777777" w:rsidTr="0012108B">
        <w:trPr>
          <w:cantSplit/>
          <w:jc w:val="center"/>
        </w:trPr>
        <w:tc>
          <w:tcPr>
            <w:tcW w:w="3744" w:type="dxa"/>
            <w:tcMar>
              <w:top w:w="70" w:type="dxa"/>
              <w:left w:w="80" w:type="dxa"/>
              <w:bottom w:w="70" w:type="dxa"/>
              <w:right w:w="80" w:type="dxa"/>
            </w:tcMar>
            <w:vAlign w:val="center"/>
          </w:tcPr>
          <w:p w14:paraId="56029A35" w14:textId="77777777" w:rsidR="00707C36" w:rsidRDefault="00EB2926">
            <w:pPr>
              <w:pStyle w:val="TableText"/>
            </w:pPr>
            <w:r>
              <w:t>A one-way rule runs both ways.</w:t>
            </w:r>
          </w:p>
        </w:tc>
        <w:tc>
          <w:tcPr>
            <w:tcW w:w="6768" w:type="dxa"/>
            <w:tcMar>
              <w:top w:w="70" w:type="dxa"/>
              <w:left w:w="80" w:type="dxa"/>
              <w:bottom w:w="70" w:type="dxa"/>
              <w:right w:w="80" w:type="dxa"/>
            </w:tcMar>
            <w:vAlign w:val="center"/>
          </w:tcPr>
          <w:p w14:paraId="3CE2DA2A" w14:textId="77777777" w:rsidR="00707C36" w:rsidRDefault="00EB2926">
            <w:pPr>
              <w:pStyle w:val="TableText"/>
            </w:pPr>
            <w:r>
              <w:t>Where does the rule supply the reverse direction?</w:t>
            </w:r>
          </w:p>
        </w:tc>
      </w:tr>
    </w:tbl>
    <w:p w14:paraId="430A649C" w14:textId="77777777" w:rsidR="0012108B" w:rsidRDefault="0012108B"/>
    <w:p w14:paraId="39163A4C" w14:textId="6A25B129" w:rsidR="00707C36" w:rsidRDefault="00EB2926">
      <w:r>
        <w:t>A question does not need to sound formal to be strong. “Can someone finish the training and still not be authorized?” is short, ordinary, and exactly on target.</w:t>
      </w:r>
    </w:p>
    <w:p w14:paraId="24C73BBF" w14:textId="77777777" w:rsidR="00707C36" w:rsidRDefault="00EB2926">
      <w:r>
        <w:t>Run the Answer Test: imagine receiving a direct answer to your question. Would that answer tell you whether the original conclusion follows from the facts already supplied? If yes, your question is probably aimed at the right hinge.</w:t>
      </w:r>
    </w:p>
    <w:p w14:paraId="0A4BC277" w14:textId="77777777" w:rsidR="00707C36" w:rsidRDefault="00EB2926">
      <w:pPr>
        <w:pStyle w:val="Exercise"/>
      </w:pPr>
      <w:r>
        <w:rPr>
          <w:b/>
        </w:rPr>
        <w:t xml:space="preserve">G1. </w:t>
      </w:r>
      <w:r>
        <w:t>Rule: “Applicants who receive the award have submitted a portfolio.” Quinn submitted a portfolio, so a peer concludes that Quinn received the award. Write a diagnostic question that targets the conditional issue.</w:t>
      </w:r>
    </w:p>
    <w:p w14:paraId="17700BED" w14:textId="77777777" w:rsidR="00707C36" w:rsidRDefault="00707C36">
      <w:pPr>
        <w:pStyle w:val="AnswerSpace"/>
      </w:pPr>
    </w:p>
    <w:p w14:paraId="4507AA28" w14:textId="77777777" w:rsidR="0012108B" w:rsidRDefault="0012108B">
      <w:pPr>
        <w:pStyle w:val="AnswerSpace"/>
      </w:pPr>
    </w:p>
    <w:p w14:paraId="58B293CE" w14:textId="77777777" w:rsidR="0012108B" w:rsidRDefault="0012108B">
      <w:pPr>
        <w:pStyle w:val="AnswerSpace"/>
      </w:pPr>
    </w:p>
    <w:p w14:paraId="3EAE6643" w14:textId="77777777" w:rsidR="0012108B" w:rsidRDefault="0012108B">
      <w:pPr>
        <w:pStyle w:val="AnswerSpace"/>
      </w:pPr>
    </w:p>
    <w:p w14:paraId="4369232F" w14:textId="77777777" w:rsidR="0012108B" w:rsidRDefault="0012108B">
      <w:pPr>
        <w:pStyle w:val="AnswerSpace"/>
      </w:pPr>
    </w:p>
    <w:p w14:paraId="40863B85" w14:textId="77777777" w:rsidR="00707C36" w:rsidRDefault="00EB2926">
      <w:pPr>
        <w:pStyle w:val="Exercise"/>
      </w:pPr>
      <w:r>
        <w:rPr>
          <w:b/>
        </w:rPr>
        <w:t xml:space="preserve">G2. </w:t>
      </w:r>
      <w:r>
        <w:t>Rule: “Customers receive a replacement if their device is recalled.” Jo’s device was not recalled, so a representative says Jo cannot receive a replacement. Write a differently structured diagnostic question than you used for G1.</w:t>
      </w:r>
    </w:p>
    <w:p w14:paraId="78A62E89" w14:textId="77777777" w:rsidR="00707C36" w:rsidRDefault="00707C36">
      <w:pPr>
        <w:pStyle w:val="AnswerSpace"/>
      </w:pPr>
    </w:p>
    <w:p w14:paraId="0E4C2128" w14:textId="77777777" w:rsidR="0012108B" w:rsidRDefault="0012108B">
      <w:pPr>
        <w:pStyle w:val="AnswerSpace"/>
      </w:pPr>
    </w:p>
    <w:p w14:paraId="5F7B84EA" w14:textId="77777777" w:rsidR="0012108B" w:rsidRDefault="0012108B">
      <w:pPr>
        <w:pStyle w:val="AnswerSpace"/>
      </w:pPr>
    </w:p>
    <w:p w14:paraId="67AA00B6" w14:textId="77777777" w:rsidR="0012108B" w:rsidRDefault="0012108B">
      <w:pPr>
        <w:pStyle w:val="AnswerSpace"/>
      </w:pPr>
    </w:p>
    <w:p w14:paraId="1A543A14" w14:textId="77777777" w:rsidR="00707C36" w:rsidRDefault="00EB2926">
      <w:pPr>
        <w:pStyle w:val="Heading1"/>
      </w:pPr>
      <w:r>
        <w:lastRenderedPageBreak/>
        <w:t>X. Know When the Rule Ha</w:t>
      </w:r>
      <w:r>
        <w:t>s Already Settled It</w:t>
      </w:r>
    </w:p>
    <w:p w14:paraId="2C44D1EE" w14:textId="5ABDF399" w:rsidR="00707C36" w:rsidRDefault="00C253F8">
      <w:r>
        <w:t>As we have discussed, blind skepticism is not critical thinking</w:t>
      </w:r>
      <w:r w:rsidR="00EB2926">
        <w:t>. Sometimes the rule and facts already settle the answer. Sometimes they establish the opposite of the proposed conclusion. Your job is to tell the difference.</w:t>
      </w:r>
    </w:p>
    <w:p w14:paraId="673667EF" w14:textId="77777777" w:rsidR="00707C36" w:rsidRDefault="00EB2926">
      <w:pPr>
        <w:pStyle w:val="Case"/>
      </w:pPr>
      <w:r>
        <w:t>Rule: “An applicant is eligible for this grant only if the applicant lives in the county.”  (eligible → county resident)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8"/>
        <w:gridCol w:w="1800"/>
        <w:gridCol w:w="3744"/>
      </w:tblGrid>
      <w:tr w:rsidR="00707C36" w14:paraId="16F3A071" w14:textId="77777777" w:rsidTr="00C253F8">
        <w:trPr>
          <w:cantSplit/>
          <w:tblHeader/>
          <w:jc w:val="center"/>
        </w:trPr>
        <w:tc>
          <w:tcPr>
            <w:tcW w:w="4968" w:type="dxa"/>
            <w:shd w:val="clear" w:color="auto" w:fill="E7E7E7"/>
            <w:tcMar>
              <w:top w:w="70" w:type="dxa"/>
              <w:left w:w="80" w:type="dxa"/>
              <w:bottom w:w="70" w:type="dxa"/>
              <w:right w:w="80" w:type="dxa"/>
            </w:tcMar>
            <w:vAlign w:val="center"/>
          </w:tcPr>
          <w:p w14:paraId="2D3E18D0" w14:textId="77777777" w:rsidR="00707C36" w:rsidRDefault="00EB2926">
            <w:pPr>
              <w:pStyle w:val="TableText"/>
            </w:pPr>
            <w:r>
              <w:rPr>
                <w:b/>
              </w:rPr>
              <w:t>Additional fact and proposed conclusion</w:t>
            </w:r>
          </w:p>
        </w:tc>
        <w:tc>
          <w:tcPr>
            <w:tcW w:w="1800" w:type="dxa"/>
            <w:shd w:val="clear" w:color="auto" w:fill="E7E7E7"/>
            <w:tcMar>
              <w:top w:w="70" w:type="dxa"/>
              <w:left w:w="80" w:type="dxa"/>
              <w:bottom w:w="70" w:type="dxa"/>
              <w:right w:w="80" w:type="dxa"/>
            </w:tcMar>
            <w:vAlign w:val="center"/>
          </w:tcPr>
          <w:p w14:paraId="424AA700" w14:textId="77777777" w:rsidR="00707C36" w:rsidRDefault="00EB2926">
            <w:pPr>
              <w:pStyle w:val="TableText"/>
            </w:pPr>
            <w:r>
              <w:rPr>
                <w:b/>
              </w:rPr>
              <w:t>Result</w:t>
            </w:r>
          </w:p>
        </w:tc>
        <w:tc>
          <w:tcPr>
            <w:tcW w:w="3744" w:type="dxa"/>
            <w:shd w:val="clear" w:color="auto" w:fill="E7E7E7"/>
            <w:tcMar>
              <w:top w:w="70" w:type="dxa"/>
              <w:left w:w="80" w:type="dxa"/>
              <w:bottom w:w="70" w:type="dxa"/>
              <w:right w:w="80" w:type="dxa"/>
            </w:tcMar>
            <w:vAlign w:val="center"/>
          </w:tcPr>
          <w:p w14:paraId="44F570C2" w14:textId="77777777" w:rsidR="00707C36" w:rsidRDefault="00EB2926">
            <w:pPr>
              <w:pStyle w:val="TableText"/>
            </w:pPr>
            <w:r>
              <w:rPr>
                <w:b/>
              </w:rPr>
              <w:t>Why</w:t>
            </w:r>
          </w:p>
        </w:tc>
      </w:tr>
      <w:tr w:rsidR="00707C36" w14:paraId="1849C920" w14:textId="77777777" w:rsidTr="00C253F8">
        <w:trPr>
          <w:cantSplit/>
          <w:jc w:val="center"/>
        </w:trPr>
        <w:tc>
          <w:tcPr>
            <w:tcW w:w="4968" w:type="dxa"/>
            <w:tcMar>
              <w:top w:w="70" w:type="dxa"/>
              <w:left w:w="80" w:type="dxa"/>
              <w:bottom w:w="70" w:type="dxa"/>
              <w:right w:w="80" w:type="dxa"/>
            </w:tcMar>
            <w:vAlign w:val="center"/>
          </w:tcPr>
          <w:p w14:paraId="1B5EB9FD" w14:textId="77777777" w:rsidR="00707C36" w:rsidRDefault="00EB2926">
            <w:pPr>
              <w:pStyle w:val="TableText"/>
            </w:pPr>
            <w:r>
              <w:t>Sam does not live in the county; therefore Sam is not eligible.</w:t>
            </w:r>
          </w:p>
        </w:tc>
        <w:tc>
          <w:tcPr>
            <w:tcW w:w="1800" w:type="dxa"/>
            <w:tcMar>
              <w:top w:w="70" w:type="dxa"/>
              <w:left w:w="80" w:type="dxa"/>
              <w:bottom w:w="70" w:type="dxa"/>
              <w:right w:w="80" w:type="dxa"/>
            </w:tcMar>
            <w:vAlign w:val="center"/>
          </w:tcPr>
          <w:p w14:paraId="1C11D576" w14:textId="77777777" w:rsidR="00707C36" w:rsidRDefault="00EB2926">
            <w:pPr>
              <w:pStyle w:val="TableText"/>
            </w:pPr>
            <w:r>
              <w:t>Follows.</w:t>
            </w:r>
          </w:p>
        </w:tc>
        <w:tc>
          <w:tcPr>
            <w:tcW w:w="3744" w:type="dxa"/>
            <w:tcMar>
              <w:top w:w="70" w:type="dxa"/>
              <w:left w:w="80" w:type="dxa"/>
              <w:bottom w:w="70" w:type="dxa"/>
              <w:right w:w="80" w:type="dxa"/>
            </w:tcMar>
            <w:vAlign w:val="center"/>
          </w:tcPr>
          <w:p w14:paraId="7336CC55" w14:textId="77777777" w:rsidR="00707C36" w:rsidRDefault="00EB2926">
            <w:pPr>
              <w:pStyle w:val="TableText"/>
            </w:pPr>
            <w:r>
              <w:t>A required condition is missing.</w:t>
            </w:r>
          </w:p>
        </w:tc>
      </w:tr>
      <w:tr w:rsidR="00707C36" w14:paraId="52DB6AA7" w14:textId="77777777" w:rsidTr="00C253F8">
        <w:trPr>
          <w:cantSplit/>
          <w:jc w:val="center"/>
        </w:trPr>
        <w:tc>
          <w:tcPr>
            <w:tcW w:w="4968" w:type="dxa"/>
            <w:tcMar>
              <w:top w:w="70" w:type="dxa"/>
              <w:left w:w="80" w:type="dxa"/>
              <w:bottom w:w="70" w:type="dxa"/>
              <w:right w:w="80" w:type="dxa"/>
            </w:tcMar>
            <w:vAlign w:val="center"/>
          </w:tcPr>
          <w:p w14:paraId="61B587FF" w14:textId="77777777" w:rsidR="00707C36" w:rsidRDefault="00EB2926">
            <w:pPr>
              <w:pStyle w:val="TableText"/>
            </w:pPr>
            <w:r>
              <w:t>Sam does not live in the county; therefore Sam is eligible.</w:t>
            </w:r>
          </w:p>
        </w:tc>
        <w:tc>
          <w:tcPr>
            <w:tcW w:w="1800" w:type="dxa"/>
            <w:tcMar>
              <w:top w:w="70" w:type="dxa"/>
              <w:left w:w="80" w:type="dxa"/>
              <w:bottom w:w="70" w:type="dxa"/>
              <w:right w:w="80" w:type="dxa"/>
            </w:tcMar>
            <w:vAlign w:val="center"/>
          </w:tcPr>
          <w:p w14:paraId="0C2F2465" w14:textId="77777777" w:rsidR="00707C36" w:rsidRDefault="00EB2926">
            <w:pPr>
              <w:pStyle w:val="TableText"/>
            </w:pPr>
            <w:r>
              <w:t>Conflicts with the premises.</w:t>
            </w:r>
          </w:p>
        </w:tc>
        <w:tc>
          <w:tcPr>
            <w:tcW w:w="3744" w:type="dxa"/>
            <w:tcMar>
              <w:top w:w="70" w:type="dxa"/>
              <w:left w:w="80" w:type="dxa"/>
              <w:bottom w:w="70" w:type="dxa"/>
              <w:right w:w="80" w:type="dxa"/>
            </w:tcMar>
            <w:vAlign w:val="center"/>
          </w:tcPr>
          <w:p w14:paraId="0793F99B" w14:textId="77777777" w:rsidR="00707C36" w:rsidRDefault="00EB2926">
            <w:pPr>
              <w:pStyle w:val="TableText"/>
            </w:pPr>
            <w:r>
              <w:t>Eligibility without county residence would violate the rule.</w:t>
            </w:r>
          </w:p>
        </w:tc>
      </w:tr>
      <w:tr w:rsidR="00707C36" w14:paraId="57C7298A" w14:textId="77777777" w:rsidTr="00C253F8">
        <w:trPr>
          <w:cantSplit/>
          <w:jc w:val="center"/>
        </w:trPr>
        <w:tc>
          <w:tcPr>
            <w:tcW w:w="4968" w:type="dxa"/>
            <w:tcMar>
              <w:top w:w="70" w:type="dxa"/>
              <w:left w:w="80" w:type="dxa"/>
              <w:bottom w:w="70" w:type="dxa"/>
              <w:right w:w="80" w:type="dxa"/>
            </w:tcMar>
            <w:vAlign w:val="center"/>
          </w:tcPr>
          <w:p w14:paraId="46975D1D" w14:textId="77777777" w:rsidR="00707C36" w:rsidRDefault="00EB2926">
            <w:pPr>
              <w:pStyle w:val="TableText"/>
            </w:pPr>
            <w:r>
              <w:t>Sam lives in the county; therefore Sam is eligible.</w:t>
            </w:r>
          </w:p>
        </w:tc>
        <w:tc>
          <w:tcPr>
            <w:tcW w:w="1800" w:type="dxa"/>
            <w:tcMar>
              <w:top w:w="70" w:type="dxa"/>
              <w:left w:w="80" w:type="dxa"/>
              <w:bottom w:w="70" w:type="dxa"/>
              <w:right w:w="80" w:type="dxa"/>
            </w:tcMar>
            <w:vAlign w:val="center"/>
          </w:tcPr>
          <w:p w14:paraId="37DBF036" w14:textId="77777777" w:rsidR="00707C36" w:rsidRDefault="00EB2926">
            <w:pPr>
              <w:pStyle w:val="TableText"/>
            </w:pPr>
            <w:r>
              <w:t>Remains open.</w:t>
            </w:r>
          </w:p>
        </w:tc>
        <w:tc>
          <w:tcPr>
            <w:tcW w:w="3744" w:type="dxa"/>
            <w:tcMar>
              <w:top w:w="70" w:type="dxa"/>
              <w:left w:w="80" w:type="dxa"/>
              <w:bottom w:w="70" w:type="dxa"/>
              <w:right w:w="80" w:type="dxa"/>
            </w:tcMar>
            <w:vAlign w:val="center"/>
          </w:tcPr>
          <w:p w14:paraId="0B9B16D2" w14:textId="77777777" w:rsidR="00707C36" w:rsidRDefault="00EB2926">
            <w:pPr>
              <w:pStyle w:val="TableText"/>
            </w:pPr>
            <w:r>
              <w:t>Residence satisfies a requirement but the rule never says it is enough.</w:t>
            </w:r>
          </w:p>
        </w:tc>
      </w:tr>
    </w:tbl>
    <w:p w14:paraId="1F02650A" w14:textId="77777777" w:rsidR="00C253F8" w:rsidRDefault="00C253F8"/>
    <w:p w14:paraId="0E917644" w14:textId="25573E6B" w:rsidR="00707C36" w:rsidRDefault="00EB2926">
      <w:r>
        <w:t>When the conclusion follows, do not keep inventing questions that cannot change it. When the conclusion conflicts with the premises, do not say merely “we need more information.” Explain the contradiction. When the conclusion remains open, identify the open case and ask what would settle it.</w:t>
      </w:r>
    </w:p>
    <w:p w14:paraId="7AF37C63" w14:textId="69F7C9AA" w:rsidR="00591CF1" w:rsidRDefault="00EB2926">
      <w:pPr>
        <w:pStyle w:val="Callout"/>
      </w:pPr>
      <w:r>
        <w:rPr>
          <w:b/>
        </w:rPr>
        <w:t>Know when to stop</w:t>
      </w:r>
      <w:r>
        <w:br/>
        <w:t>Ask another question only if the answer could change whether this conclusion follows from the stated rule and facts.</w:t>
      </w:r>
    </w:p>
    <w:p w14:paraId="44929D64" w14:textId="77777777" w:rsidR="00591CF1" w:rsidRDefault="00591CF1">
      <w:pPr>
        <w:pStyle w:val="Callout"/>
      </w:pPr>
    </w:p>
    <w:p w14:paraId="38593BD2" w14:textId="77777777" w:rsidR="00707C36" w:rsidRDefault="00EB2926">
      <w:pPr>
        <w:pStyle w:val="Heading1"/>
      </w:pPr>
      <w:r>
        <w:t>XI. How These Mistakes Hide in Ordinary Decisions</w:t>
      </w:r>
    </w:p>
    <w:p w14:paraId="5258BDAE" w14:textId="77777777" w:rsidR="00707C36" w:rsidRDefault="00EB2926">
      <w:r>
        <w:t>People rarely announce “I am now affirming the consequent.” The same structure shows up inside ordinary language about qualifications, causes, requirements, warnings, and eligibility.</w:t>
      </w:r>
    </w:p>
    <w:p w14:paraId="3171A69C" w14:textId="77777777" w:rsidR="00707C36" w:rsidRDefault="00EB2926">
      <w:pPr>
        <w:pStyle w:val="Heading2"/>
      </w:pPr>
      <w:r>
        <w:t>1. “They met a requirement, so they qualify.”</w:t>
      </w:r>
    </w:p>
    <w:p w14:paraId="701185D0" w14:textId="77777777" w:rsidR="00707C36" w:rsidRDefault="00EB2926">
      <w:pPr>
        <w:pStyle w:val="Case"/>
      </w:pPr>
      <w:r>
        <w:t>A fellowship says eligible applicants must have completed a statistics course. Maya completed the course, so an adviser says Maya is eligible.</w:t>
      </w:r>
    </w:p>
    <w:p w14:paraId="6B475FEA" w14:textId="77777777" w:rsidR="00707C36" w:rsidRDefault="00EB2926">
      <w:r>
        <w:t>The actual rule is eligible → completed course. Completing the course may be required without being enough. Ask whether course completion automatically establishes eligibility or whether other requirements remain.</w:t>
      </w:r>
    </w:p>
    <w:p w14:paraId="4B202724" w14:textId="77777777" w:rsidR="00591CF1" w:rsidRDefault="00591CF1"/>
    <w:p w14:paraId="2C378ED1" w14:textId="77777777" w:rsidR="00707C36" w:rsidRDefault="00EB2926">
      <w:pPr>
        <w:pStyle w:val="Heading2"/>
      </w:pPr>
      <w:r>
        <w:lastRenderedPageBreak/>
        <w:t>2. “They do not have this route, so they cannot get the result.”</w:t>
      </w:r>
    </w:p>
    <w:p w14:paraId="6A6EB6AC" w14:textId="77777777" w:rsidR="00707C36" w:rsidRDefault="00EB2926">
      <w:pPr>
        <w:pStyle w:val="Case"/>
      </w:pPr>
      <w:r>
        <w:t>Employees with ten years of service qualify for a benefit. Priya has worked there for eight years. A coworker concludes that Priya cannot qualify.</w:t>
      </w:r>
    </w:p>
    <w:p w14:paraId="3462E104" w14:textId="77777777" w:rsidR="00707C36" w:rsidRDefault="00EB2926">
      <w:r>
        <w:t>The rule says ten years → qualifies. The coworker has silently added “only employees with ten years qualify.” Ask whether ten years is actually required or just one sufficient route.</w:t>
      </w:r>
    </w:p>
    <w:p w14:paraId="505F2BF2" w14:textId="77777777" w:rsidR="00707C36" w:rsidRDefault="00EB2926">
      <w:pPr>
        <w:pStyle w:val="Heading2"/>
      </w:pPr>
      <w:r>
        <w:t>3. “We saw the result, so the stated trigger must have happened.”</w:t>
      </w:r>
    </w:p>
    <w:p w14:paraId="6E25C66B" w14:textId="77777777" w:rsidR="00707C36" w:rsidRDefault="00EB2926">
      <w:pPr>
        <w:pStyle w:val="Case"/>
      </w:pPr>
      <w:r>
        <w:t>Employees placed on administrative leave have their building access disabled. Carlos’s access was disabled. A colleague concludes that Carlos must be on administrative leave.</w:t>
      </w:r>
    </w:p>
    <w:p w14:paraId="3A39D91A" w14:textId="77777777" w:rsidR="00707C36" w:rsidRDefault="00EB2926">
      <w:r>
        <w:t>The rule says leave → disabled access. The conclusion works only if leave is the only circumstance that can disable access. That is the relationship to investigate.</w:t>
      </w:r>
    </w:p>
    <w:p w14:paraId="584A9961" w14:textId="77777777" w:rsidR="00707C36" w:rsidRDefault="00EB2926">
      <w:r>
        <w:t>Phrases such as “must have,” “therefore qualifies,” “cannot qualify,” and an added “only” are useful warning signs. They are not automatic proof of a mistake. They tell you to inspect the direction and strength of the rule.</w:t>
      </w:r>
    </w:p>
    <w:p w14:paraId="66A685AE" w14:textId="77777777" w:rsidR="00F46D31" w:rsidRDefault="00F46D31"/>
    <w:p w14:paraId="40EAFD66" w14:textId="77777777" w:rsidR="00707C36" w:rsidRDefault="00EB2926">
      <w:pPr>
        <w:pStyle w:val="Heading1"/>
      </w:pPr>
      <w:r>
        <w:t>XII. Conditional Reasoning Outside the Classroom</w:t>
      </w:r>
    </w:p>
    <w:p w14:paraId="1207FFC2" w14:textId="77777777" w:rsidR="00707C36" w:rsidRDefault="00EB2926">
      <w:r>
        <w:t>The examples below are based on identified legal or policy sources. The simplified arguments are classroom reconstructions, not full quotations and not substitutes for the complete legal analysis.</w:t>
      </w:r>
    </w:p>
    <w:p w14:paraId="57EB76D0" w14:textId="77777777" w:rsidR="00707C36" w:rsidRDefault="00EB2926">
      <w:pPr>
        <w:pStyle w:val="Heading2"/>
      </w:pPr>
      <w:r>
        <w:t>A. A result treated as proof of membership</w:t>
      </w:r>
    </w:p>
    <w:p w14:paraId="7F39F262" w14:textId="77777777" w:rsidR="00707C36" w:rsidRDefault="00EB2926">
      <w:r>
        <w:t>In Villa v. State (Texas, 2016), testimony described a requirement that gang members join a fight involving another member. The prosecution used the defendant’s participation to support membership. The appellate court described the move as affirming the consequent. [R1]</w:t>
      </w:r>
    </w:p>
    <w:p w14:paraId="6D149E39" w14:textId="77777777" w:rsidR="00707C36" w:rsidRDefault="00EB2926">
      <w:pPr>
        <w:pStyle w:val="Case"/>
      </w:pPr>
      <w:r>
        <w:t>If a person is a gang member in the situation described, the person joins the fight. The person joined the fight. Therefore, the person is a gang member.</w:t>
      </w:r>
    </w:p>
    <w:p w14:paraId="4B06DE07" w14:textId="77777777" w:rsidR="00707C36" w:rsidRDefault="00EB2926">
      <w:r>
        <w:t>The open case is a non-member who joins. The diagnostic question is: “Does joining establish membership, or could a non-member also join?” The point is about what the conditional premise establishes, not about whether the fight occurred.</w:t>
      </w:r>
    </w:p>
    <w:p w14:paraId="61808CFB" w14:textId="77777777" w:rsidR="00707C36" w:rsidRDefault="00EB2926">
      <w:pPr>
        <w:pStyle w:val="Heading2"/>
      </w:pPr>
      <w:r>
        <w:t>B. A warning treated as its opposite promise</w:t>
      </w:r>
    </w:p>
    <w:p w14:paraId="1BAD5C3E" w14:textId="77777777" w:rsidR="00707C36" w:rsidRDefault="00EB2926">
      <w:r>
        <w:t>In Burns v. Hayles (2018), a bankruptcy court addressed an assumption that avoiding a specified judgment after trial would prevent a bankruptcy filing. The court explained that a statement saying the debtors would file if that judgment occurred did not promise no filing without it, and it identified the inference as denying the antecedent. [R2]</w:t>
      </w:r>
    </w:p>
    <w:p w14:paraId="64B86EF1" w14:textId="77777777" w:rsidR="00707C36" w:rsidRDefault="00EB2926">
      <w:pPr>
        <w:pStyle w:val="Case"/>
      </w:pPr>
      <w:r>
        <w:t>If the specified judgment follows trial, the debtors will file for bankruptcy. That judgment does not follow trial. Therefore, the debtors will not file for bankruptcy.</w:t>
      </w:r>
    </w:p>
    <w:p w14:paraId="12850B24" w14:textId="77777777" w:rsidR="00707C36" w:rsidRDefault="00EB2926">
      <w:r>
        <w:t>The remaining possibility is no such judgment and still a bankruptcy filing. Ask whether the judgment was necessary for a filing or merely one condition that would be sufficient to trigger one.</w:t>
      </w:r>
    </w:p>
    <w:p w14:paraId="150913A9" w14:textId="77777777" w:rsidR="00707C36" w:rsidRDefault="00EB2926">
      <w:pPr>
        <w:pStyle w:val="Heading2"/>
      </w:pPr>
      <w:r>
        <w:lastRenderedPageBreak/>
        <w:t>C. A process treated as a prerequisite</w:t>
      </w:r>
    </w:p>
    <w:p w14:paraId="1843FAFC" w14:textId="77777777" w:rsidR="00707C36" w:rsidRDefault="00EB2926">
      <w:r>
        <w:t>A 2011 U.S. Department of Education memorandum stated that response to intervention (RTI) could not be used to delay or deny an initial disability evaluation when an evaluation was warranted. North Carolina guidance from 2020 likewise stated that completing prescribed intervention steps was not a prerequisite to an evaluation and that intervention and evaluation could proceed at the same time. [R3-R4]</w:t>
      </w:r>
    </w:p>
    <w:p w14:paraId="03005F0E" w14:textId="77777777" w:rsidR="00707C36" w:rsidRDefault="00EB2926">
      <w:r>
        <w:t>A claim such as “An evaluation may begin only if the student has completed the intervention sequence” would make completion necessary for beginning the evaluation. The cited guidance rejects that prerequisite. Keep the conclusion narrow: removing a requirement does not make the same condition sufficient, and evaluation is not the same decision as final eligibility.</w:t>
      </w:r>
    </w:p>
    <w:p w14:paraId="404B56D4" w14:textId="77777777" w:rsidR="00707C36" w:rsidRDefault="00EB2926">
      <w:r>
        <w:br w:type="page"/>
      </w:r>
    </w:p>
    <w:p w14:paraId="254EEC72" w14:textId="77777777" w:rsidR="00707C36" w:rsidRDefault="00EB2926">
      <w:pPr>
        <w:pStyle w:val="Heading1"/>
      </w:pPr>
      <w:r>
        <w:lastRenderedPageBreak/>
        <w:t>XIII. Independent Practice</w:t>
      </w:r>
    </w:p>
    <w:p w14:paraId="5FD18B55" w14:textId="77777777" w:rsidR="00707C36" w:rsidRDefault="00EB2926">
      <w:r>
        <w:t>For each prompt, decide what the stated conditional actually establishes. If an important conditional question must be answered before accepting the conclusion, write that question and explain in one or two sentences how different answers would affect the conclusion. If the conclusion already follows, say so and explain why. If the premises establish the opposite, explain that instead.</w:t>
      </w:r>
    </w:p>
    <w:p w14:paraId="04DB2562" w14:textId="77777777" w:rsidR="00707C36" w:rsidRDefault="00EB2926">
      <w:r>
        <w:t>You may use a truth table, but you do not have to submit one or name a fallacy. Preserve the stated rule and supplied facts. Do not invent an “alternative” that contradicts a premise.</w:t>
      </w:r>
    </w:p>
    <w:p w14:paraId="6635CA7C" w14:textId="77777777" w:rsidR="00707C36" w:rsidRDefault="00EB2926">
      <w:pPr>
        <w:pStyle w:val="Exercise"/>
      </w:pPr>
      <w:r>
        <w:rPr>
          <w:b/>
        </w:rPr>
        <w:t xml:space="preserve">H1. </w:t>
      </w:r>
      <w:r>
        <w:t>A publisher issues a download key to anyone whose manuscript is accepted. Morgan received a download key, so a colleague congratulates Morgan on the acceptance.</w:t>
      </w:r>
    </w:p>
    <w:p w14:paraId="38A5E57E" w14:textId="77777777" w:rsidR="00707C36" w:rsidRDefault="00707C36">
      <w:pPr>
        <w:pStyle w:val="AnswerSpace"/>
      </w:pPr>
    </w:p>
    <w:p w14:paraId="4F61E292" w14:textId="77777777" w:rsidR="00707C36" w:rsidRDefault="00EB2926">
      <w:pPr>
        <w:pStyle w:val="Exercise"/>
      </w:pPr>
      <w:r>
        <w:rPr>
          <w:b/>
        </w:rPr>
        <w:t xml:space="preserve">H2. </w:t>
      </w:r>
      <w:r>
        <w:t>A museum waives the admission charge only if the visitor’s pass is validated. Noor’s pass was not validated. The attendant concludes that Noor does not receive the waiver under this rule.</w:t>
      </w:r>
    </w:p>
    <w:p w14:paraId="793DE609" w14:textId="77777777" w:rsidR="00707C36" w:rsidRDefault="00707C36">
      <w:pPr>
        <w:pStyle w:val="AnswerSpace"/>
      </w:pPr>
    </w:p>
    <w:p w14:paraId="56AECFCB" w14:textId="77777777" w:rsidR="00707C36" w:rsidRDefault="00EB2926">
      <w:pPr>
        <w:pStyle w:val="Exercise"/>
      </w:pPr>
      <w:r>
        <w:rPr>
          <w:b/>
        </w:rPr>
        <w:t xml:space="preserve">H3. </w:t>
      </w:r>
      <w:r>
        <w:t>A fictional repair guarantee says, “You receive a replacement if the inspection records a factory defect.” An inspection found no factory defect in Avery’s device. A customer-service employee concludes that Avery cannot receive a replacement.</w:t>
      </w:r>
    </w:p>
    <w:p w14:paraId="0B668793" w14:textId="77777777" w:rsidR="00707C36" w:rsidRDefault="00707C36">
      <w:pPr>
        <w:pStyle w:val="AnswerSpace"/>
      </w:pPr>
    </w:p>
    <w:p w14:paraId="776BCA4C" w14:textId="77777777" w:rsidR="00707C36" w:rsidRDefault="00EB2926">
      <w:pPr>
        <w:pStyle w:val="Exercise"/>
      </w:pPr>
      <w:r>
        <w:rPr>
          <w:b/>
        </w:rPr>
        <w:t xml:space="preserve">H4. </w:t>
      </w:r>
      <w:r>
        <w:t>A submission is marked ready for review if and only if its acknowledgment email has been issued. The submission is not marked ready for review. The editor concludes that its acknowledgment email has not been issued.</w:t>
      </w:r>
    </w:p>
    <w:p w14:paraId="7D3CB2C7" w14:textId="77777777" w:rsidR="00707C36" w:rsidRDefault="00707C36">
      <w:pPr>
        <w:pStyle w:val="AnswerSpace"/>
      </w:pPr>
    </w:p>
    <w:p w14:paraId="1CA36F29" w14:textId="77777777" w:rsidR="00707C36" w:rsidRDefault="00EB2926">
      <w:pPr>
        <w:pStyle w:val="Exercise"/>
      </w:pPr>
      <w:r>
        <w:rPr>
          <w:b/>
        </w:rPr>
        <w:t xml:space="preserve">H5. </w:t>
      </w:r>
      <w:r>
        <w:t>Unless a reservation is confirmed, a deposit is retained. Ellis’s reservation is confirmed, so Ellis concludes that the deposit will not be retained.</w:t>
      </w:r>
    </w:p>
    <w:p w14:paraId="44EC3CE7" w14:textId="77777777" w:rsidR="00707C36" w:rsidRDefault="00707C36">
      <w:pPr>
        <w:pStyle w:val="AnswerSpace"/>
      </w:pPr>
    </w:p>
    <w:p w14:paraId="35E94EEC" w14:textId="77777777" w:rsidR="00707C36" w:rsidRDefault="00EB2926">
      <w:pPr>
        <w:pStyle w:val="Exercise"/>
      </w:pPr>
      <w:r>
        <w:rPr>
          <w:b/>
        </w:rPr>
        <w:t xml:space="preserve">H6. </w:t>
      </w:r>
      <w:r>
        <w:t>A fellowship says an applicant is eligible only if the applicant has completed the research-methods course. Priya completed that course. An adviser concludes that the policy establishes Priya’s eligibility.</w:t>
      </w:r>
    </w:p>
    <w:p w14:paraId="528587E1" w14:textId="77777777" w:rsidR="00707C36" w:rsidRDefault="00707C36">
      <w:pPr>
        <w:pStyle w:val="AnswerSpace"/>
      </w:pPr>
    </w:p>
    <w:p w14:paraId="67BA9BE7" w14:textId="77777777" w:rsidR="00707C36" w:rsidRDefault="00EB2926">
      <w:pPr>
        <w:pStyle w:val="Heading2"/>
      </w:pPr>
      <w:r>
        <w:t>Same rule, different facts</w:t>
      </w:r>
    </w:p>
    <w:p w14:paraId="7CFBCC99" w14:textId="77777777" w:rsidR="00707C36" w:rsidRDefault="00EB2926">
      <w:pPr>
        <w:pStyle w:val="Case"/>
      </w:pPr>
      <w:r>
        <w:t>For H7-H9, use the stipulated rule: “If a grant is approved, a notice is sent.”</w:t>
      </w:r>
    </w:p>
    <w:p w14:paraId="62E5080F" w14:textId="77777777" w:rsidR="00707C36" w:rsidRDefault="00EB2926">
      <w:pPr>
        <w:pStyle w:val="Exercise"/>
      </w:pPr>
      <w:r>
        <w:rPr>
          <w:b/>
        </w:rPr>
        <w:t xml:space="preserve">H7. </w:t>
      </w:r>
      <w:r>
        <w:t>No notice was sent. Someone nevertheless concludes that the grant was approved. Does the conclusion follow, remain open, or conflict with the premises?</w:t>
      </w:r>
    </w:p>
    <w:p w14:paraId="077318AB" w14:textId="77777777" w:rsidR="00707C36" w:rsidRDefault="00707C36">
      <w:pPr>
        <w:pStyle w:val="AnswerSpace"/>
      </w:pPr>
    </w:p>
    <w:p w14:paraId="65861D34" w14:textId="77777777" w:rsidR="00707C36" w:rsidRDefault="00EB2926">
      <w:pPr>
        <w:pStyle w:val="Exercise"/>
      </w:pPr>
      <w:r>
        <w:rPr>
          <w:b/>
        </w:rPr>
        <w:t xml:space="preserve">H8. </w:t>
      </w:r>
      <w:r>
        <w:t>The grant was approved. Someone asks whether rejected grants can also generate notices before deciding whether a notice was sent in this case. Is that extra question needed?</w:t>
      </w:r>
    </w:p>
    <w:p w14:paraId="651B3FDC" w14:textId="77777777" w:rsidR="00707C36" w:rsidRDefault="00707C36">
      <w:pPr>
        <w:pStyle w:val="AnswerSpace"/>
      </w:pPr>
    </w:p>
    <w:p w14:paraId="616DD14F" w14:textId="77777777" w:rsidR="00707C36" w:rsidRDefault="00EB2926">
      <w:pPr>
        <w:pStyle w:val="Exercise"/>
      </w:pPr>
      <w:r>
        <w:rPr>
          <w:b/>
        </w:rPr>
        <w:lastRenderedPageBreak/>
        <w:t xml:space="preserve">H9. </w:t>
      </w:r>
      <w:r>
        <w:t>A notice was sent. Give one permitted case that prevents us from concluding the grant was approved. Then ask the question that would exclude that case.</w:t>
      </w:r>
    </w:p>
    <w:p w14:paraId="4D039D3D" w14:textId="77777777" w:rsidR="00707C36" w:rsidRDefault="00707C36">
      <w:pPr>
        <w:pStyle w:val="AnswerSpace"/>
      </w:pPr>
    </w:p>
    <w:p w14:paraId="1EB40953" w14:textId="77777777" w:rsidR="00707C36" w:rsidRDefault="00EB2926">
      <w:pPr>
        <w:pStyle w:val="Heading2"/>
      </w:pPr>
      <w:r>
        <w:t>Two final “unless” cases</w:t>
      </w:r>
    </w:p>
    <w:p w14:paraId="7BD678A9" w14:textId="77777777" w:rsidR="00707C36" w:rsidRDefault="00EB2926">
      <w:pPr>
        <w:pStyle w:val="Case"/>
      </w:pPr>
      <w:r>
        <w:t>Rule for H10-H11: “Unless a file is encrypted, it cannot be uploaded.” Let E mean encrypted and U mean can be uploaded. The rule is not E → not U.</w:t>
      </w:r>
    </w:p>
    <w:p w14:paraId="6DDFDE7B" w14:textId="77777777" w:rsidR="00707C36" w:rsidRDefault="00EB2926">
      <w:pPr>
        <w:pStyle w:val="Exercise"/>
      </w:pPr>
      <w:r>
        <w:rPr>
          <w:b/>
        </w:rPr>
        <w:t xml:space="preserve">H10. </w:t>
      </w:r>
      <w:r>
        <w:t>The file can be uploaded. What follows about encryption? Explain by naming the combination that the rule forbids.</w:t>
      </w:r>
    </w:p>
    <w:p w14:paraId="406714E3" w14:textId="77777777" w:rsidR="00707C36" w:rsidRDefault="00707C36">
      <w:pPr>
        <w:pStyle w:val="AnswerSpace"/>
      </w:pPr>
    </w:p>
    <w:p w14:paraId="4D991A36" w14:textId="77777777" w:rsidR="00707C36" w:rsidRDefault="00EB2926">
      <w:pPr>
        <w:pStyle w:val="Exercise"/>
      </w:pPr>
      <w:r>
        <w:rPr>
          <w:b/>
        </w:rPr>
        <w:t xml:space="preserve">H11. </w:t>
      </w:r>
      <w:r>
        <w:t>The file is encrypted. A user concludes that it can be uploaded. Write a diagnostic question and a one- or two-sentence explanation.</w:t>
      </w:r>
    </w:p>
    <w:p w14:paraId="058F69FB" w14:textId="77777777" w:rsidR="00707C36" w:rsidRDefault="00707C36">
      <w:pPr>
        <w:pStyle w:val="AnswerSpace"/>
      </w:pPr>
    </w:p>
    <w:p w14:paraId="69E165EC" w14:textId="77777777" w:rsidR="00707C36" w:rsidRDefault="00EB2926">
      <w:pPr>
        <w:pStyle w:val="Heading1"/>
      </w:pPr>
      <w:r>
        <w:t>XIV. How This Differs From Targets 1 and 2</w:t>
      </w:r>
    </w:p>
    <w:p w14:paraId="0710013B" w14:textId="77777777" w:rsidR="00707C36" w:rsidRDefault="00EB2926">
      <w:r>
        <w:t>The same prompt can sometimes raise more than one kind of question, but the three targets are looking for different problems.</w:t>
      </w:r>
    </w:p>
    <w:tbl>
      <w:tblPr>
        <w:tblW w:w="0" w:type="auto"/>
        <w:jc w:val="center"/>
        <w:tblLayout w:type="fixed"/>
        <w:tblLook w:val="04A0" w:firstRow="1" w:lastRow="0" w:firstColumn="1" w:lastColumn="0" w:noHBand="0" w:noVBand="1"/>
      </w:tblPr>
      <w:tblGrid>
        <w:gridCol w:w="2376"/>
        <w:gridCol w:w="4896"/>
        <w:gridCol w:w="3240"/>
      </w:tblGrid>
      <w:tr w:rsidR="00707C36" w14:paraId="73791C1B" w14:textId="77777777">
        <w:trPr>
          <w:cantSplit/>
          <w:tblHeader/>
          <w:jc w:val="center"/>
        </w:trPr>
        <w:tc>
          <w:tcPr>
            <w:tcW w:w="2376" w:type="dxa"/>
            <w:shd w:val="clear" w:color="auto" w:fill="E7E7E7"/>
            <w:tcMar>
              <w:top w:w="70" w:type="dxa"/>
              <w:left w:w="80" w:type="dxa"/>
              <w:bottom w:w="70" w:type="dxa"/>
              <w:right w:w="80" w:type="dxa"/>
            </w:tcMar>
            <w:vAlign w:val="center"/>
          </w:tcPr>
          <w:p w14:paraId="0C0BD688" w14:textId="77777777" w:rsidR="00707C36" w:rsidRDefault="00EB2926">
            <w:pPr>
              <w:pStyle w:val="TableText"/>
            </w:pPr>
            <w:r>
              <w:rPr>
                <w:b/>
              </w:rPr>
              <w:t>Target</w:t>
            </w:r>
          </w:p>
        </w:tc>
        <w:tc>
          <w:tcPr>
            <w:tcW w:w="4896" w:type="dxa"/>
            <w:shd w:val="clear" w:color="auto" w:fill="E7E7E7"/>
            <w:tcMar>
              <w:top w:w="70" w:type="dxa"/>
              <w:left w:w="80" w:type="dxa"/>
              <w:bottom w:w="70" w:type="dxa"/>
              <w:right w:w="80" w:type="dxa"/>
            </w:tcMar>
            <w:vAlign w:val="center"/>
          </w:tcPr>
          <w:p w14:paraId="3D31C552" w14:textId="77777777" w:rsidR="00707C36" w:rsidRDefault="00EB2926">
            <w:pPr>
              <w:pStyle w:val="TableText"/>
            </w:pPr>
            <w:r>
              <w:rPr>
                <w:b/>
              </w:rPr>
              <w:t>What you are looking for</w:t>
            </w:r>
          </w:p>
        </w:tc>
        <w:tc>
          <w:tcPr>
            <w:tcW w:w="3240" w:type="dxa"/>
            <w:shd w:val="clear" w:color="auto" w:fill="E7E7E7"/>
            <w:tcMar>
              <w:top w:w="70" w:type="dxa"/>
              <w:left w:w="80" w:type="dxa"/>
              <w:bottom w:w="70" w:type="dxa"/>
              <w:right w:w="80" w:type="dxa"/>
            </w:tcMar>
            <w:vAlign w:val="center"/>
          </w:tcPr>
          <w:p w14:paraId="396BB12F" w14:textId="77777777" w:rsidR="00707C36" w:rsidRDefault="00EB2926">
            <w:pPr>
              <w:pStyle w:val="TableText"/>
            </w:pPr>
            <w:r>
              <w:rPr>
                <w:b/>
              </w:rPr>
              <w:t>Typical question</w:t>
            </w:r>
          </w:p>
        </w:tc>
      </w:tr>
      <w:tr w:rsidR="00707C36" w14:paraId="310CCE67" w14:textId="77777777">
        <w:trPr>
          <w:cantSplit/>
          <w:jc w:val="center"/>
        </w:trPr>
        <w:tc>
          <w:tcPr>
            <w:tcW w:w="2376" w:type="dxa"/>
            <w:tcMar>
              <w:top w:w="70" w:type="dxa"/>
              <w:left w:w="80" w:type="dxa"/>
              <w:bottom w:w="70" w:type="dxa"/>
              <w:right w:w="80" w:type="dxa"/>
            </w:tcMar>
            <w:vAlign w:val="center"/>
          </w:tcPr>
          <w:p w14:paraId="08383551" w14:textId="77777777" w:rsidR="00707C36" w:rsidRDefault="00EB2926">
            <w:pPr>
              <w:pStyle w:val="TableText"/>
            </w:pPr>
            <w:r>
              <w:t>1: Language not yet usable</w:t>
            </w:r>
          </w:p>
        </w:tc>
        <w:tc>
          <w:tcPr>
            <w:tcW w:w="4896" w:type="dxa"/>
            <w:tcMar>
              <w:top w:w="70" w:type="dxa"/>
              <w:left w:w="80" w:type="dxa"/>
              <w:bottom w:w="70" w:type="dxa"/>
              <w:right w:w="80" w:type="dxa"/>
            </w:tcMar>
            <w:vAlign w:val="center"/>
          </w:tcPr>
          <w:p w14:paraId="6F62217D" w14:textId="77777777" w:rsidR="00707C36" w:rsidRDefault="00EB2926">
            <w:pPr>
              <w:pStyle w:val="TableText"/>
            </w:pPr>
            <w:r>
              <w:t>We do not yet know what a key term or standard means well enough to apply it.</w:t>
            </w:r>
          </w:p>
        </w:tc>
        <w:tc>
          <w:tcPr>
            <w:tcW w:w="3240" w:type="dxa"/>
            <w:tcMar>
              <w:top w:w="70" w:type="dxa"/>
              <w:left w:w="80" w:type="dxa"/>
              <w:bottom w:w="70" w:type="dxa"/>
              <w:right w:w="80" w:type="dxa"/>
            </w:tcMar>
            <w:vAlign w:val="center"/>
          </w:tcPr>
          <w:p w14:paraId="22ABBA0A" w14:textId="77777777" w:rsidR="00707C36" w:rsidRDefault="00EB2926">
            <w:pPr>
              <w:pStyle w:val="TableText"/>
            </w:pPr>
            <w:r>
              <w:t>What exactly counts as ___, and how is it being determined?</w:t>
            </w:r>
          </w:p>
        </w:tc>
      </w:tr>
      <w:tr w:rsidR="00707C36" w14:paraId="5677D050" w14:textId="77777777">
        <w:trPr>
          <w:cantSplit/>
          <w:jc w:val="center"/>
        </w:trPr>
        <w:tc>
          <w:tcPr>
            <w:tcW w:w="2376" w:type="dxa"/>
            <w:tcMar>
              <w:top w:w="70" w:type="dxa"/>
              <w:left w:w="80" w:type="dxa"/>
              <w:bottom w:w="70" w:type="dxa"/>
              <w:right w:w="80" w:type="dxa"/>
            </w:tcMar>
            <w:vAlign w:val="center"/>
          </w:tcPr>
          <w:p w14:paraId="535704CE" w14:textId="77777777" w:rsidR="00707C36" w:rsidRDefault="00EB2926">
            <w:pPr>
              <w:pStyle w:val="TableText"/>
            </w:pPr>
            <w:r>
              <w:t>2: Something changed</w:t>
            </w:r>
          </w:p>
        </w:tc>
        <w:tc>
          <w:tcPr>
            <w:tcW w:w="4896" w:type="dxa"/>
            <w:tcMar>
              <w:top w:w="70" w:type="dxa"/>
              <w:left w:w="80" w:type="dxa"/>
              <w:bottom w:w="70" w:type="dxa"/>
              <w:right w:w="80" w:type="dxa"/>
            </w:tcMar>
            <w:vAlign w:val="center"/>
          </w:tcPr>
          <w:p w14:paraId="4C60464D" w14:textId="77777777" w:rsidR="00707C36" w:rsidRDefault="00EB2926">
            <w:pPr>
              <w:pStyle w:val="TableText"/>
            </w:pPr>
            <w:r>
              <w:t>One claim, concept, category, or relationship is being substituted for another.</w:t>
            </w:r>
          </w:p>
        </w:tc>
        <w:tc>
          <w:tcPr>
            <w:tcW w:w="3240" w:type="dxa"/>
            <w:tcMar>
              <w:top w:w="70" w:type="dxa"/>
              <w:left w:w="80" w:type="dxa"/>
              <w:bottom w:w="70" w:type="dxa"/>
              <w:right w:w="80" w:type="dxa"/>
            </w:tcMar>
            <w:vAlign w:val="center"/>
          </w:tcPr>
          <w:p w14:paraId="2475CE4B" w14:textId="77777777" w:rsidR="00707C36" w:rsidRDefault="00EB2926">
            <w:pPr>
              <w:pStyle w:val="TableText"/>
            </w:pPr>
            <w:r>
              <w:t>Are X and Y actually interchangeable in the way this reasoning needs?</w:t>
            </w:r>
          </w:p>
        </w:tc>
      </w:tr>
      <w:tr w:rsidR="00707C36" w14:paraId="451DA9F7" w14:textId="77777777">
        <w:trPr>
          <w:cantSplit/>
          <w:jc w:val="center"/>
        </w:trPr>
        <w:tc>
          <w:tcPr>
            <w:tcW w:w="2376" w:type="dxa"/>
            <w:tcMar>
              <w:top w:w="70" w:type="dxa"/>
              <w:left w:w="80" w:type="dxa"/>
              <w:bottom w:w="70" w:type="dxa"/>
              <w:right w:w="80" w:type="dxa"/>
            </w:tcMar>
            <w:vAlign w:val="center"/>
          </w:tcPr>
          <w:p w14:paraId="4D7F6853" w14:textId="77777777" w:rsidR="00707C36" w:rsidRDefault="00EB2926">
            <w:pPr>
              <w:pStyle w:val="TableText"/>
            </w:pPr>
            <w:r>
              <w:t>3: Conditional misused</w:t>
            </w:r>
          </w:p>
        </w:tc>
        <w:tc>
          <w:tcPr>
            <w:tcW w:w="4896" w:type="dxa"/>
            <w:tcMar>
              <w:top w:w="70" w:type="dxa"/>
              <w:left w:w="80" w:type="dxa"/>
              <w:bottom w:w="70" w:type="dxa"/>
              <w:right w:w="80" w:type="dxa"/>
            </w:tcMar>
            <w:vAlign w:val="center"/>
          </w:tcPr>
          <w:p w14:paraId="2BD21B22" w14:textId="77777777" w:rsidR="00707C36" w:rsidRDefault="00EB2926">
            <w:pPr>
              <w:pStyle w:val="TableText"/>
            </w:pPr>
            <w:r>
              <w:t>The rule is clear, but the conclusion uses a direction or strength the rule did not supply.</w:t>
            </w:r>
          </w:p>
        </w:tc>
        <w:tc>
          <w:tcPr>
            <w:tcW w:w="3240" w:type="dxa"/>
            <w:tcMar>
              <w:top w:w="70" w:type="dxa"/>
              <w:left w:w="80" w:type="dxa"/>
              <w:bottom w:w="70" w:type="dxa"/>
              <w:right w:w="80" w:type="dxa"/>
            </w:tcMar>
            <w:vAlign w:val="center"/>
          </w:tcPr>
          <w:p w14:paraId="3667BF2B" w14:textId="77777777" w:rsidR="00707C36" w:rsidRDefault="00EB2926">
            <w:pPr>
              <w:pStyle w:val="TableText"/>
            </w:pPr>
            <w:r>
              <w:t>Does this rule actually establish the direction the conclusion is using?</w:t>
            </w:r>
          </w:p>
        </w:tc>
      </w:tr>
    </w:tbl>
    <w:p w14:paraId="1E0E3E4D" w14:textId="77777777" w:rsidR="00707C36" w:rsidRDefault="00EB2926">
      <w:pPr>
        <w:pStyle w:val="Case"/>
      </w:pPr>
      <w:r>
        <w:t>Target 1 example: “Applicants with substantial volunteer experience qualify. Jamie volunteered six afternoons, so Jamie qualifies.” The hinge is what counts as substantial.</w:t>
      </w:r>
    </w:p>
    <w:p w14:paraId="2378D416" w14:textId="77777777" w:rsidR="00707C36" w:rsidRDefault="00EB2926">
      <w:pPr>
        <w:pStyle w:val="Case"/>
      </w:pPr>
      <w:r>
        <w:t>Target 2 example: “Jamie volunteered six afternoons, so Jamie’s motives must have been entirely unselfish.” The reasoning substitutes an activity for a claim about motive.</w:t>
      </w:r>
    </w:p>
    <w:p w14:paraId="6D6D07BD" w14:textId="77777777" w:rsidR="00707C36" w:rsidRDefault="00EB2926">
      <w:pPr>
        <w:pStyle w:val="Case"/>
      </w:pPr>
      <w:r>
        <w:t>Target 3 example: “If an applicant completes 40 volunteer hours, the applicant qualifies. Jamie qualifies, so Jamie must have completed 40 hours.” The threshold and result are clear. The problem is the backward use of the rule.</w:t>
      </w:r>
    </w:p>
    <w:p w14:paraId="0ACEBCE6" w14:textId="77777777" w:rsidR="00707C36" w:rsidRDefault="00EB2926">
      <w:pPr>
        <w:pStyle w:val="Callout"/>
      </w:pPr>
      <w:r>
        <w:rPr>
          <w:b/>
        </w:rPr>
        <w:t>Target 3 reflex</w:t>
      </w:r>
      <w:r>
        <w:br/>
        <w:t>Wait - does that condition actually let us conclude that? What did the rule rule out, and what did it leave open?</w:t>
      </w:r>
    </w:p>
    <w:p w14:paraId="383171F0" w14:textId="77777777" w:rsidR="00707C36" w:rsidRDefault="00EB2926">
      <w:pPr>
        <w:pStyle w:val="Heading1"/>
      </w:pPr>
      <w:r>
        <w:lastRenderedPageBreak/>
        <w:t>XV. Check Yourself Before You Move On</w:t>
      </w:r>
    </w:p>
    <w:p w14:paraId="5BECC85F" w14:textId="77777777" w:rsidR="00707C36" w:rsidRDefault="00EB2926">
      <w:r>
        <w:t>Try answering these out loud without looking back. You do not need the exact wording from the handout. If you can explain the idea in ordinary language, you understand it.</w:t>
      </w:r>
    </w:p>
    <w:p w14:paraId="25CFC998" w14:textId="77777777" w:rsidR="00707C36" w:rsidRDefault="00EB2926">
      <w:pPr>
        <w:pStyle w:val="Exercise"/>
      </w:pPr>
      <w:r>
        <w:rPr>
          <w:b/>
        </w:rPr>
        <w:t xml:space="preserve">1. </w:t>
      </w:r>
      <w:r>
        <w:t>Why does P → Q rule out P without Q?</w:t>
      </w:r>
    </w:p>
    <w:p w14:paraId="2F7580F8" w14:textId="77777777" w:rsidR="00707C36" w:rsidRDefault="00EB2926">
      <w:pPr>
        <w:pStyle w:val="Exercise"/>
      </w:pPr>
      <w:r>
        <w:rPr>
          <w:b/>
        </w:rPr>
        <w:t xml:space="preserve">2. </w:t>
      </w:r>
      <w:r>
        <w:t>Why can Q happen without P under a one-way conditional?</w:t>
      </w:r>
    </w:p>
    <w:p w14:paraId="49E17F23" w14:textId="77777777" w:rsidR="00707C36" w:rsidRDefault="00EB2926">
      <w:pPr>
        <w:pStyle w:val="Exercise"/>
      </w:pPr>
      <w:r>
        <w:rPr>
          <w:b/>
        </w:rPr>
        <w:t xml:space="preserve">3. </w:t>
      </w:r>
      <w:r>
        <w:t>How does that one forbidden row show that P is sufficient for Q and Q is necessary for P?</w:t>
      </w:r>
    </w:p>
    <w:p w14:paraId="6AD741C5" w14:textId="77777777" w:rsidR="00707C36" w:rsidRDefault="00EB2926">
      <w:pPr>
        <w:pStyle w:val="Exercise"/>
      </w:pPr>
      <w:r>
        <w:rPr>
          <w:b/>
        </w:rPr>
        <w:t xml:space="preserve">4. </w:t>
      </w:r>
      <w:r>
        <w:t>Why does not Q let us rule out P, while Q does not establish P?</w:t>
      </w:r>
    </w:p>
    <w:p w14:paraId="5F031D86" w14:textId="77777777" w:rsidR="00707C36" w:rsidRDefault="00EB2926">
      <w:pPr>
        <w:pStyle w:val="Exercise"/>
      </w:pPr>
      <w:r>
        <w:rPr>
          <w:b/>
        </w:rPr>
        <w:t xml:space="preserve">5. </w:t>
      </w:r>
      <w:r>
        <w:t>What changes when “if” becomes “only if”?</w:t>
      </w:r>
    </w:p>
    <w:p w14:paraId="15907A5E" w14:textId="77777777" w:rsidR="00707C36" w:rsidRDefault="00EB2926">
      <w:pPr>
        <w:pStyle w:val="Exercise"/>
      </w:pPr>
      <w:r>
        <w:rPr>
          <w:b/>
        </w:rPr>
        <w:t xml:space="preserve">6. </w:t>
      </w:r>
      <w:r>
        <w:t>Why does “unless signed, rejected” leave a signed-and-rejected application possible?</w:t>
      </w:r>
    </w:p>
    <w:p w14:paraId="62B33612" w14:textId="77777777" w:rsidR="00707C36" w:rsidRDefault="00EB2926">
      <w:pPr>
        <w:pStyle w:val="Exercise"/>
      </w:pPr>
      <w:r>
        <w:rPr>
          <w:b/>
        </w:rPr>
        <w:t xml:space="preserve">7. </w:t>
      </w:r>
      <w:r>
        <w:t>What extra relationship does “if and only if” add?</w:t>
      </w:r>
    </w:p>
    <w:p w14:paraId="102E4D26" w14:textId="77777777" w:rsidR="00707C36" w:rsidRDefault="00EB2926">
      <w:pPr>
        <w:pStyle w:val="Exercise"/>
      </w:pPr>
      <w:r>
        <w:rPr>
          <w:b/>
        </w:rPr>
        <w:t xml:space="preserve">8. </w:t>
      </w:r>
      <w:r>
        <w:t>How does an open case tell you what diagnostic question to ask?</w:t>
      </w:r>
    </w:p>
    <w:p w14:paraId="5B5260E7" w14:textId="77777777" w:rsidR="00707C36" w:rsidRDefault="00EB2926">
      <w:pPr>
        <w:pStyle w:val="Callout"/>
      </w:pPr>
      <w:r>
        <w:rPr>
          <w:b/>
        </w:rPr>
        <w:t>Punchline</w:t>
      </w:r>
      <w:r>
        <w:br/>
        <w:t>A guarantee is not automatically the only route. A requirement is not automatically enough. Find the case the rule forbids, keep the cases it leaves open, and conclude only what every remaining case supports.</w:t>
      </w:r>
    </w:p>
    <w:p w14:paraId="025C5D4E" w14:textId="77777777" w:rsidR="00707C36" w:rsidRDefault="00EB2926">
      <w:r>
        <w:br w:type="page"/>
      </w:r>
    </w:p>
    <w:p w14:paraId="2C743594" w14:textId="77777777" w:rsidR="00707C36" w:rsidRDefault="00EB2926">
      <w:pPr>
        <w:pStyle w:val="Heading1"/>
      </w:pPr>
      <w:r>
        <w:lastRenderedPageBreak/>
        <w:t>XVI. Check Your Reasoning: Suggested Answers</w:t>
      </w:r>
    </w:p>
    <w:p w14:paraId="01384A1C" w14:textId="77777777" w:rsidR="00707C36" w:rsidRDefault="00EB2926">
      <w:r>
        <w:t>These are models of the reasoning, not scripts to memorize. Your wording can be shorter or different. A successful response identifies the specific conditional relationship at issue and explains how the answer changes what follows.</w:t>
      </w:r>
    </w:p>
    <w:p w14:paraId="677FC865" w14:textId="77777777" w:rsidR="00707C36" w:rsidRDefault="00EB2926">
      <w:pPr>
        <w:pStyle w:val="Heading2"/>
      </w:pPr>
      <w:r>
        <w:t>Opening</w:t>
      </w:r>
    </w:p>
    <w:p w14:paraId="2C37BBB0" w14:textId="77777777" w:rsidR="00707C36" w:rsidRDefault="00EB2926">
      <w:r>
        <w:t>Opening 1-2. The volunteer’s conclusion is not established. The announcement guarantees free admission to voucher holders, but it does not say voucher holders are the only people who may enter free. The rule is violated by voucher-without-free-admission, not by no-voucher-with-free-admission.</w:t>
      </w:r>
    </w:p>
    <w:p w14:paraId="71280A94" w14:textId="77777777" w:rsidR="00707C36" w:rsidRDefault="00EB2926">
      <w:pPr>
        <w:pStyle w:val="Heading2"/>
      </w:pPr>
      <w:r>
        <w:t>A. Four-case checklist</w:t>
      </w:r>
    </w:p>
    <w:p w14:paraId="282AC016" w14:textId="77777777" w:rsidR="00707C36" w:rsidRDefault="00EB2926">
      <w:r>
        <w:t>A1. An encrypted file without a lock icon violates the rule. That is P without Q.</w:t>
      </w:r>
    </w:p>
    <w:p w14:paraId="0B17CA43" w14:textId="77777777" w:rsidR="00707C36" w:rsidRDefault="00EB2926">
      <w:r>
        <w:t>A2. Yes. A non-encrypted file with a lock icon fits the rule because the rule never said the icon appears only on encrypted files. The icon therefore does not, by itself, establish encryption.</w:t>
      </w:r>
    </w:p>
    <w:p w14:paraId="2AB71DA5" w14:textId="77777777" w:rsidR="00707C36" w:rsidRDefault="00EB2926">
      <w:pPr>
        <w:pStyle w:val="Heading2"/>
      </w:pPr>
      <w:r>
        <w:t>B. Enough and required</w:t>
      </w:r>
    </w:p>
    <w:p w14:paraId="4DF90A59" w14:textId="77777777" w:rsidR="00707C36" w:rsidRDefault="00EB2926">
      <w:r>
        <w:t>B1. Premium status is sufficient for download access. Download access is necessary for premium status. Both descriptions come from the same forbidden case: premium without access.</w:t>
      </w:r>
    </w:p>
    <w:p w14:paraId="660ED624" w14:textId="77777777" w:rsidR="00707C36" w:rsidRDefault="00EB2926">
      <w:r>
        <w:t>B2. A signature is necessary for approval because approval without a signature is ruled out. The statement does not make the signature sufficient: a signed application could still fail for another reason.</w:t>
      </w:r>
    </w:p>
    <w:p w14:paraId="623A0CCD" w14:textId="77777777" w:rsidR="00707C36" w:rsidRDefault="00EB2926">
      <w:pPr>
        <w:pStyle w:val="Heading2"/>
      </w:pPr>
      <w:r>
        <w:t>C. Four moves from approval → email</w:t>
      </w:r>
    </w:p>
    <w:p w14:paraId="6809F9A0" w14:textId="77777777" w:rsidR="00707C36" w:rsidRDefault="00EB2926">
      <w:r>
        <w:t>C1. The email was sent. Approval activates the guarantee.</w:t>
      </w:r>
    </w:p>
    <w:p w14:paraId="61BA5134" w14:textId="77777777" w:rsidR="00707C36" w:rsidRDefault="00EB2926">
      <w:r>
        <w:t>C2. The application was not approved. An approved application without an email would violate the rule.</w:t>
      </w:r>
    </w:p>
    <w:p w14:paraId="43CA2F2D" w14:textId="77777777" w:rsidR="00707C36" w:rsidRDefault="00EB2926">
      <w:r>
        <w:t>C3. Approval does not follow. A non-approved application that nevertheless generates an email fits the rule. Ask whether the email is sent only for approved applications or can also be sent in another circumstance.</w:t>
      </w:r>
    </w:p>
    <w:p w14:paraId="3E80B1C8" w14:textId="77777777" w:rsidR="00707C36" w:rsidRDefault="00EB2926">
      <w:r>
        <w:t>C4. No. A non-approved application can have an email or lack one under the stated rule. Ask whether approval is required for the email, rather than simply one condition that guarantees it.</w:t>
      </w:r>
    </w:p>
    <w:p w14:paraId="6A3116BA" w14:textId="77777777" w:rsidR="00707C36" w:rsidRDefault="00EB2926">
      <w:pPr>
        <w:pStyle w:val="Heading2"/>
      </w:pPr>
      <w:r>
        <w:t>D. If and only if wording</w:t>
      </w:r>
    </w:p>
    <w:p w14:paraId="7841CBF0" w14:textId="77777777" w:rsidR="00707C36" w:rsidRDefault="00EB2926">
      <w:r>
        <w:t>D1. Code used → charge waived. A waiver does not establish code use. Ask, “Can customers receive the waiver without using the code, or is the code required for every waiver?”</w:t>
      </w:r>
    </w:p>
    <w:p w14:paraId="0F39A562" w14:textId="77777777" w:rsidR="00707C36" w:rsidRDefault="00EB2926">
      <w:r>
        <w:t>D2. Eligible → county resident. Rosa’s residence satisfies a requirement but does not establish eligibility. Ask whether county residence is enough for eligibility or merely required.</w:t>
      </w:r>
    </w:p>
    <w:p w14:paraId="318A695C" w14:textId="77777777" w:rsidR="00707C36" w:rsidRDefault="00EB2926">
      <w:r>
        <w:t>D3. Leo is not eligible under the stated rule. Eligibility requires county residence, and Leo lacks it.</w:t>
      </w:r>
    </w:p>
    <w:p w14:paraId="25F8B036" w14:textId="77777777" w:rsidR="00707C36" w:rsidRDefault="00EB2926">
      <w:pPr>
        <w:pStyle w:val="Heading2"/>
      </w:pPr>
      <w:r>
        <w:lastRenderedPageBreak/>
        <w:t>E. Unless</w:t>
      </w:r>
    </w:p>
    <w:p w14:paraId="508CCD86" w14:textId="77777777" w:rsidR="00707C36" w:rsidRDefault="00EB2926">
      <w:r>
        <w:t>E1. No. “Unless code entered, fee charged” means no code → fee. Entering the code makes the antecedent false, but the rule leaves both fee outcomes open. Ask whether entering the code actually guarantees no fee.</w:t>
      </w:r>
    </w:p>
    <w:p w14:paraId="44B57994" w14:textId="77777777" w:rsidR="00707C36" w:rsidRDefault="00EB2926">
      <w:r>
        <w:t>E2. The customer entered the code. No code together with no fee is the forbidden combination, so the absence of the fee rules out “no code.”</w:t>
      </w:r>
    </w:p>
    <w:p w14:paraId="0105EBD3" w14:textId="77777777" w:rsidR="00707C36" w:rsidRDefault="00EB2926">
      <w:pPr>
        <w:pStyle w:val="Heading2"/>
      </w:pPr>
      <w:r>
        <w:t>F. Biconditional</w:t>
      </w:r>
    </w:p>
    <w:p w14:paraId="5B34B4F3" w14:textId="77777777" w:rsidR="00707C36" w:rsidRDefault="00EB2926">
      <w:r>
        <w:t>F1. The submission is marked complete. The biconditional includes code issued → complete.</w:t>
      </w:r>
    </w:p>
    <w:p w14:paraId="100EAA12" w14:textId="77777777" w:rsidR="00707C36" w:rsidRDefault="00EB2926">
      <w:r>
        <w:t>F2. The submission is not marked complete. Under the biconditional, no code and not complete go together. If the rule were only complete → code issued, no code would still rule out complete, so this particular inference would not change.</w:t>
      </w:r>
    </w:p>
    <w:p w14:paraId="1D9F20AD" w14:textId="77777777" w:rsidR="00707C36" w:rsidRDefault="00EB2926">
      <w:pPr>
        <w:pStyle w:val="Heading2"/>
      </w:pPr>
      <w:r>
        <w:t>G. Diagnostic questions</w:t>
      </w:r>
    </w:p>
    <w:p w14:paraId="7CB53FCC" w14:textId="77777777" w:rsidR="00707C36" w:rsidRDefault="00EB2926">
      <w:r>
        <w:t>G1. A strong question is: “Does submitting a portfolio guarantee receiving the award, or can someone submit a portfolio and still not receive it?” The given rule is award → portfolio. Quinn has the required portfolio, but that does not establish the award unless the reverse direction is also true.</w:t>
      </w:r>
    </w:p>
    <w:p w14:paraId="505D62BB" w14:textId="77777777" w:rsidR="00707C36" w:rsidRDefault="00EB2926">
      <w:r>
        <w:t>G2. A strong differently structured question is: “Can customers receive replacements for devices that were not recalled?” The guarantee is recalled → replacement. If another route to replacement exists, Jo’s lack of a recall does not settle the result.</w:t>
      </w:r>
    </w:p>
    <w:p w14:paraId="29A16FE2" w14:textId="77777777" w:rsidR="00707C36" w:rsidRDefault="00EB2926">
      <w:pPr>
        <w:pStyle w:val="Heading2"/>
      </w:pPr>
      <w:r>
        <w:t>H. Independent practice</w:t>
      </w:r>
    </w:p>
    <w:p w14:paraId="314E03AC" w14:textId="77777777" w:rsidR="00707C36" w:rsidRDefault="00EB2926">
      <w:r>
        <w:t>H1. Ask: “Are download keys issued only for accepted manuscripts, or can someone receive a key without acceptance?” If a key requires acceptance, Morgan’s key establishes acceptance. Otherwise, acceptance remains open.</w:t>
      </w:r>
    </w:p>
    <w:p w14:paraId="18EFBDC5" w14:textId="77777777" w:rsidR="00707C36" w:rsidRDefault="00EB2926">
      <w:r>
        <w:t>H2. No additional conditional question is needed. Waiver → validated pass, and Noor lacks validation. A waiver for Noor would violate the rule, so the waiver is ruled out under the stipulated policy.</w:t>
      </w:r>
    </w:p>
    <w:p w14:paraId="404FF1B4" w14:textId="77777777" w:rsidR="00707C36" w:rsidRDefault="00EB2926">
      <w:r>
        <w:t>H3. Ask: “Is a recorded factory defect required for a replacement, or is it simply one condition that guarantees a replacement?” If a defect is required, Avery cannot receive one. If not, the no-defect finding leaves other replacement routes open.</w:t>
      </w:r>
    </w:p>
    <w:p w14:paraId="55F856A3" w14:textId="77777777" w:rsidR="00707C36" w:rsidRDefault="00EB2926">
      <w:r>
        <w:t>H4. No additional question is needed. Ready ↔ email means not ready → no email as well as the other directions. The editor’s conclusion follows.</w:t>
      </w:r>
    </w:p>
    <w:p w14:paraId="332099A9" w14:textId="77777777" w:rsidR="00707C36" w:rsidRDefault="00EB2926">
      <w:r>
        <w:t>H5. Ask: “Does confirmation guarantee that the deposit will not be retained, or does the rule only guarantee retention when confirmation is absent?” The “unless” rule leaves confirmed-with-retained-deposit open unless an additional promise rules it out.</w:t>
      </w:r>
    </w:p>
    <w:p w14:paraId="04B3B832" w14:textId="77777777" w:rsidR="00707C36" w:rsidRDefault="00EB2926">
      <w:r>
        <w:t>H6. Ask: “Is completing the research-methods course enough for eligibility, or is it only required?” Course completion alone does not establish eligibility unless the policy supplies that reverse direction.</w:t>
      </w:r>
    </w:p>
    <w:p w14:paraId="7DAE1ACC" w14:textId="77777777" w:rsidR="00707C36" w:rsidRDefault="00EB2926">
      <w:r>
        <w:lastRenderedPageBreak/>
        <w:t>H7. The proposed approval conflicts with the premises. Approval → notice and no notice together establish not approved.</w:t>
      </w:r>
    </w:p>
    <w:p w14:paraId="1B46ECA3" w14:textId="77777777" w:rsidR="00707C36" w:rsidRDefault="00EB2926">
      <w:r>
        <w:t>H8. The extra question is not needed. Approval guarantees a notice. Whether some rejected grants also generate notices does not affect what follows from this grant being approved.</w:t>
      </w:r>
    </w:p>
    <w:p w14:paraId="0AF0EBAE" w14:textId="77777777" w:rsidR="00707C36" w:rsidRDefault="00EB2926">
      <w:r>
        <w:t>H9. A non-approved grant that still generates a notice is permitted. Ask: “Are notices sent only when a grant is approved, or can a non-approved grant also generate one?”</w:t>
      </w:r>
    </w:p>
    <w:p w14:paraId="578E2A1B" w14:textId="77777777" w:rsidR="00707C36" w:rsidRDefault="00EB2926">
      <w:r>
        <w:t>H10. The file is encrypted. The rule is not E → not U. An unencrypted file that can be uploaded would violate it, so U rules out not E.</w:t>
      </w:r>
    </w:p>
    <w:p w14:paraId="03F23AFC" w14:textId="77777777" w:rsidR="00707C36" w:rsidRDefault="00EB2926">
      <w:r>
        <w:t>H11. Ask: “Does encryption guarantee that a file can be uploaded, or is encryption only required for upload?” The rule leaves an encrypted file that still cannot be uploaded open. Without an added E → U guarantee, encryption alone does not establish uploadability.</w:t>
      </w:r>
    </w:p>
    <w:p w14:paraId="7ECD7B9B" w14:textId="77777777" w:rsidR="00707C36" w:rsidRDefault="00EB2926">
      <w:pPr>
        <w:pStyle w:val="Heading2"/>
      </w:pPr>
      <w:r>
        <w:t>A final note about answer wording</w:t>
      </w:r>
    </w:p>
    <w:p w14:paraId="2C0BF401" w14:textId="77777777" w:rsidR="00707C36" w:rsidRDefault="00EB2926">
      <w:r>
        <w:t>“Can a non-chair have access?” and “Is chair status required for access?” can test the same open case. Either can be strong when the context is clear. What matters is that your question identifies the exact relationship the conclusion needs rather than merely saying “I need more information.”</w:t>
      </w:r>
    </w:p>
    <w:p w14:paraId="619C863B" w14:textId="77777777" w:rsidR="00707C36" w:rsidRDefault="00EB2926">
      <w:pPr>
        <w:pStyle w:val="Callout"/>
      </w:pPr>
      <w:r>
        <w:rPr>
          <w:b/>
        </w:rPr>
        <w:t>The reasoning to retain</w:t>
      </w:r>
      <w:r>
        <w:br/>
        <w:t>Keep the premises true. Find the case the rule leaves open. Ask what would rule that case out. Then explain how the answer changes what follows.</w:t>
      </w:r>
    </w:p>
    <w:p w14:paraId="4CD6644B" w14:textId="77777777" w:rsidR="00707C36" w:rsidRDefault="00EB2926">
      <w:pPr>
        <w:pStyle w:val="Heading1"/>
      </w:pPr>
      <w:r>
        <w:t>Source Notes for the Actual Cases</w:t>
      </w:r>
    </w:p>
    <w:p w14:paraId="57D26970" w14:textId="77777777" w:rsidR="00707C36" w:rsidRDefault="00EB2926">
      <w:r>
        <w:t>The historical illustrations in Section XII are based on the sources below. The simplified arguments and instructional comparisons are classroom reconstructions. The policy illustration concerns the cited 2011 and 2020 guidance, not a complete statement of current special-education eligibility law or advice about an individual student.</w:t>
      </w:r>
    </w:p>
    <w:p w14:paraId="3E23BF82" w14:textId="77777777" w:rsidR="00707C36" w:rsidRDefault="00EB2926">
      <w:r>
        <w:t xml:space="preserve">[R1] Villa v. State, No. 08-14-00047-CR, Texas Eighth Court of Appeals, April 22, 2016. See opinion pp. 7-8 for the conditional inference and pp. 12-14 for the separate dispositions. </w:t>
      </w:r>
      <w:hyperlink r:id="rId8">
        <w:r>
          <w:rPr>
            <w:color w:val="0563C1"/>
            <w:u w:val="single"/>
          </w:rPr>
          <w:t>Read the court’s opinion.</w:t>
        </w:r>
      </w:hyperlink>
    </w:p>
    <w:p w14:paraId="7C76C58D" w14:textId="77777777" w:rsidR="00707C36" w:rsidRDefault="00EB2926">
      <w:r>
        <w:t xml:space="preserve">[R2] Burns v. Hayles (In re Hayles), Adv. No. 17-90104, U.S. Bankruptcy Court for the Southern District of California, September 4, 2018. See printed pp. 8-9, especially footnote 11. </w:t>
      </w:r>
      <w:hyperlink r:id="rId9">
        <w:r>
          <w:rPr>
            <w:color w:val="0563C1"/>
            <w:u w:val="single"/>
          </w:rPr>
          <w:t>Read the court’s memorandum decision.</w:t>
        </w:r>
      </w:hyperlink>
    </w:p>
    <w:p w14:paraId="73859E91" w14:textId="77777777" w:rsidR="00707C36" w:rsidRDefault="00EB2926">
      <w:r>
        <w:t xml:space="preserve">[R3] U.S. Department of Education, Office of Special Education Programs, Memorandum 11-07, January 21, 2011. See pp. 1-3 on RTI and timely initial evaluations. </w:t>
      </w:r>
      <w:hyperlink r:id="rId10">
        <w:r>
          <w:rPr>
            <w:color w:val="0563C1"/>
            <w:u w:val="single"/>
          </w:rPr>
          <w:t>Read OSEP Memorandum 11-07.</w:t>
        </w:r>
      </w:hyperlink>
    </w:p>
    <w:p w14:paraId="682113B0" w14:textId="77777777" w:rsidR="00707C36" w:rsidRDefault="00EB2926">
      <w:r>
        <w:t xml:space="preserve">[R4] North Carolina Department of Public Instruction, Exceptional Children Division, SLD Fact Sheet #10: Frequently Asked Questions, October 2020. See pp. 1-2 on intervention steps, referrals, and evaluations. </w:t>
      </w:r>
      <w:hyperlink r:id="rId11">
        <w:r>
          <w:rPr>
            <w:color w:val="0563C1"/>
            <w:u w:val="single"/>
          </w:rPr>
          <w:t>Read the North Carolina fact sheet.</w:t>
        </w:r>
      </w:hyperlink>
    </w:p>
    <w:p w14:paraId="57FD403F" w14:textId="77777777" w:rsidR="00707C36" w:rsidRDefault="00EB2926">
      <w:r>
        <w:t>You do not need to memorize case names, citations, or policy dates. The lesson is how the conditional relationships shape what the premises actually let us conclude.</w:t>
      </w:r>
    </w:p>
    <w:p w14:paraId="29968DA6" w14:textId="77777777" w:rsidR="00707C36" w:rsidRDefault="00EB2926">
      <w:pPr>
        <w:pStyle w:val="Heading1"/>
      </w:pPr>
      <w:r>
        <w:lastRenderedPageBreak/>
        <w:t>Quick Reference</w:t>
      </w:r>
    </w:p>
    <w:tbl>
      <w:tblPr>
        <w:tblW w:w="0" w:type="auto"/>
        <w:jc w:val="center"/>
        <w:tblLayout w:type="fixed"/>
        <w:tblLook w:val="04A0" w:firstRow="1" w:lastRow="0" w:firstColumn="1" w:lastColumn="0" w:noHBand="0" w:noVBand="1"/>
      </w:tblPr>
      <w:tblGrid>
        <w:gridCol w:w="3384"/>
        <w:gridCol w:w="2520"/>
        <w:gridCol w:w="4608"/>
      </w:tblGrid>
      <w:tr w:rsidR="00707C36" w14:paraId="4CCD35F1" w14:textId="77777777">
        <w:trPr>
          <w:cantSplit/>
          <w:tblHeader/>
          <w:jc w:val="center"/>
        </w:trPr>
        <w:tc>
          <w:tcPr>
            <w:tcW w:w="3384" w:type="dxa"/>
            <w:shd w:val="clear" w:color="auto" w:fill="E7E7E7"/>
            <w:tcMar>
              <w:top w:w="70" w:type="dxa"/>
              <w:left w:w="80" w:type="dxa"/>
              <w:bottom w:w="70" w:type="dxa"/>
              <w:right w:w="80" w:type="dxa"/>
            </w:tcMar>
            <w:vAlign w:val="center"/>
          </w:tcPr>
          <w:p w14:paraId="0FC4EE34" w14:textId="77777777" w:rsidR="00707C36" w:rsidRDefault="00EB2926">
            <w:pPr>
              <w:pStyle w:val="TableText"/>
            </w:pPr>
            <w:r>
              <w:rPr>
                <w:b/>
              </w:rPr>
              <w:t>Wording</w:t>
            </w:r>
          </w:p>
        </w:tc>
        <w:tc>
          <w:tcPr>
            <w:tcW w:w="2520" w:type="dxa"/>
            <w:shd w:val="clear" w:color="auto" w:fill="E7E7E7"/>
            <w:tcMar>
              <w:top w:w="70" w:type="dxa"/>
              <w:left w:w="80" w:type="dxa"/>
              <w:bottom w:w="70" w:type="dxa"/>
              <w:right w:w="80" w:type="dxa"/>
            </w:tcMar>
            <w:vAlign w:val="center"/>
          </w:tcPr>
          <w:p w14:paraId="10F2ECA7" w14:textId="77777777" w:rsidR="00707C36" w:rsidRDefault="00EB2926">
            <w:pPr>
              <w:pStyle w:val="TableText"/>
              <w:jc w:val="center"/>
            </w:pPr>
            <w:r>
              <w:rPr>
                <w:b/>
              </w:rPr>
              <w:t>Translation</w:t>
            </w:r>
          </w:p>
        </w:tc>
        <w:tc>
          <w:tcPr>
            <w:tcW w:w="4608" w:type="dxa"/>
            <w:shd w:val="clear" w:color="auto" w:fill="E7E7E7"/>
            <w:tcMar>
              <w:top w:w="70" w:type="dxa"/>
              <w:left w:w="80" w:type="dxa"/>
              <w:bottom w:w="70" w:type="dxa"/>
              <w:right w:w="80" w:type="dxa"/>
            </w:tcMar>
            <w:vAlign w:val="center"/>
          </w:tcPr>
          <w:p w14:paraId="526D7924" w14:textId="77777777" w:rsidR="00707C36" w:rsidRDefault="00EB2926">
            <w:pPr>
              <w:pStyle w:val="TableText"/>
            </w:pPr>
            <w:r>
              <w:rPr>
                <w:b/>
              </w:rPr>
              <w:t>What is ruled out</w:t>
            </w:r>
          </w:p>
        </w:tc>
      </w:tr>
      <w:tr w:rsidR="00707C36" w14:paraId="1195F585" w14:textId="77777777">
        <w:trPr>
          <w:cantSplit/>
          <w:jc w:val="center"/>
        </w:trPr>
        <w:tc>
          <w:tcPr>
            <w:tcW w:w="3384" w:type="dxa"/>
            <w:tcMar>
              <w:top w:w="70" w:type="dxa"/>
              <w:left w:w="80" w:type="dxa"/>
              <w:bottom w:w="70" w:type="dxa"/>
              <w:right w:w="80" w:type="dxa"/>
            </w:tcMar>
            <w:vAlign w:val="center"/>
          </w:tcPr>
          <w:p w14:paraId="779B2C8C" w14:textId="77777777" w:rsidR="00707C36" w:rsidRDefault="00EB2926">
            <w:pPr>
              <w:pStyle w:val="TableText"/>
            </w:pPr>
            <w:r>
              <w:t>If P, then Q / Q if P</w:t>
            </w:r>
          </w:p>
        </w:tc>
        <w:tc>
          <w:tcPr>
            <w:tcW w:w="2520" w:type="dxa"/>
            <w:tcMar>
              <w:top w:w="70" w:type="dxa"/>
              <w:left w:w="80" w:type="dxa"/>
              <w:bottom w:w="70" w:type="dxa"/>
              <w:right w:w="80" w:type="dxa"/>
            </w:tcMar>
            <w:vAlign w:val="center"/>
          </w:tcPr>
          <w:p w14:paraId="1708FA70" w14:textId="77777777" w:rsidR="00707C36" w:rsidRDefault="00EB2926">
            <w:pPr>
              <w:pStyle w:val="TableText"/>
              <w:jc w:val="center"/>
            </w:pPr>
            <w:r>
              <w:t>P → Q</w:t>
            </w:r>
          </w:p>
        </w:tc>
        <w:tc>
          <w:tcPr>
            <w:tcW w:w="4608" w:type="dxa"/>
            <w:tcMar>
              <w:top w:w="70" w:type="dxa"/>
              <w:left w:w="80" w:type="dxa"/>
              <w:bottom w:w="70" w:type="dxa"/>
              <w:right w:w="80" w:type="dxa"/>
            </w:tcMar>
            <w:vAlign w:val="center"/>
          </w:tcPr>
          <w:p w14:paraId="4E7C4CAA" w14:textId="77777777" w:rsidR="00707C36" w:rsidRDefault="00EB2926">
            <w:pPr>
              <w:pStyle w:val="TableText"/>
            </w:pPr>
            <w:r>
              <w:t>P without Q</w:t>
            </w:r>
          </w:p>
        </w:tc>
      </w:tr>
      <w:tr w:rsidR="00707C36" w14:paraId="7265EFC2" w14:textId="77777777">
        <w:trPr>
          <w:cantSplit/>
          <w:jc w:val="center"/>
        </w:trPr>
        <w:tc>
          <w:tcPr>
            <w:tcW w:w="3384" w:type="dxa"/>
            <w:tcMar>
              <w:top w:w="70" w:type="dxa"/>
              <w:left w:w="80" w:type="dxa"/>
              <w:bottom w:w="70" w:type="dxa"/>
              <w:right w:w="80" w:type="dxa"/>
            </w:tcMar>
            <w:vAlign w:val="center"/>
          </w:tcPr>
          <w:p w14:paraId="40F8A80A" w14:textId="77777777" w:rsidR="00707C36" w:rsidRDefault="00EB2926">
            <w:pPr>
              <w:pStyle w:val="TableText"/>
            </w:pPr>
            <w:r>
              <w:t>P only if Q</w:t>
            </w:r>
          </w:p>
        </w:tc>
        <w:tc>
          <w:tcPr>
            <w:tcW w:w="2520" w:type="dxa"/>
            <w:tcMar>
              <w:top w:w="70" w:type="dxa"/>
              <w:left w:w="80" w:type="dxa"/>
              <w:bottom w:w="70" w:type="dxa"/>
              <w:right w:w="80" w:type="dxa"/>
            </w:tcMar>
            <w:vAlign w:val="center"/>
          </w:tcPr>
          <w:p w14:paraId="1E534E5E" w14:textId="77777777" w:rsidR="00707C36" w:rsidRDefault="00EB2926">
            <w:pPr>
              <w:pStyle w:val="TableText"/>
              <w:jc w:val="center"/>
            </w:pPr>
            <w:r>
              <w:t>P → Q</w:t>
            </w:r>
          </w:p>
        </w:tc>
        <w:tc>
          <w:tcPr>
            <w:tcW w:w="4608" w:type="dxa"/>
            <w:tcMar>
              <w:top w:w="70" w:type="dxa"/>
              <w:left w:w="80" w:type="dxa"/>
              <w:bottom w:w="70" w:type="dxa"/>
              <w:right w:w="80" w:type="dxa"/>
            </w:tcMar>
            <w:vAlign w:val="center"/>
          </w:tcPr>
          <w:p w14:paraId="7CF2319B" w14:textId="77777777" w:rsidR="00707C36" w:rsidRDefault="00EB2926">
            <w:pPr>
              <w:pStyle w:val="TableText"/>
            </w:pPr>
            <w:r>
              <w:t>P without Q</w:t>
            </w:r>
          </w:p>
        </w:tc>
      </w:tr>
      <w:tr w:rsidR="00707C36" w14:paraId="4C3A7FF9" w14:textId="77777777">
        <w:trPr>
          <w:cantSplit/>
          <w:jc w:val="center"/>
        </w:trPr>
        <w:tc>
          <w:tcPr>
            <w:tcW w:w="3384" w:type="dxa"/>
            <w:tcMar>
              <w:top w:w="70" w:type="dxa"/>
              <w:left w:w="80" w:type="dxa"/>
              <w:bottom w:w="70" w:type="dxa"/>
              <w:right w:w="80" w:type="dxa"/>
            </w:tcMar>
            <w:vAlign w:val="center"/>
          </w:tcPr>
          <w:p w14:paraId="4BABC768" w14:textId="77777777" w:rsidR="00707C36" w:rsidRDefault="00EB2926">
            <w:pPr>
              <w:pStyle w:val="TableText"/>
            </w:pPr>
            <w:r>
              <w:t>P unless Q</w:t>
            </w:r>
          </w:p>
        </w:tc>
        <w:tc>
          <w:tcPr>
            <w:tcW w:w="2520" w:type="dxa"/>
            <w:tcMar>
              <w:top w:w="70" w:type="dxa"/>
              <w:left w:w="80" w:type="dxa"/>
              <w:bottom w:w="70" w:type="dxa"/>
              <w:right w:w="80" w:type="dxa"/>
            </w:tcMar>
            <w:vAlign w:val="center"/>
          </w:tcPr>
          <w:p w14:paraId="180DCA35" w14:textId="77777777" w:rsidR="00707C36" w:rsidRDefault="00EB2926">
            <w:pPr>
              <w:pStyle w:val="TableText"/>
              <w:jc w:val="center"/>
            </w:pPr>
            <w:r>
              <w:t>not Q → P</w:t>
            </w:r>
          </w:p>
        </w:tc>
        <w:tc>
          <w:tcPr>
            <w:tcW w:w="4608" w:type="dxa"/>
            <w:tcMar>
              <w:top w:w="70" w:type="dxa"/>
              <w:left w:w="80" w:type="dxa"/>
              <w:bottom w:w="70" w:type="dxa"/>
              <w:right w:w="80" w:type="dxa"/>
            </w:tcMar>
            <w:vAlign w:val="center"/>
          </w:tcPr>
          <w:p w14:paraId="64131C88" w14:textId="77777777" w:rsidR="00707C36" w:rsidRDefault="00EB2926">
            <w:pPr>
              <w:pStyle w:val="TableText"/>
            </w:pPr>
            <w:r>
              <w:t>not Q without P</w:t>
            </w:r>
          </w:p>
        </w:tc>
      </w:tr>
      <w:tr w:rsidR="00707C36" w14:paraId="564571C5" w14:textId="77777777">
        <w:trPr>
          <w:cantSplit/>
          <w:jc w:val="center"/>
        </w:trPr>
        <w:tc>
          <w:tcPr>
            <w:tcW w:w="3384" w:type="dxa"/>
            <w:tcMar>
              <w:top w:w="70" w:type="dxa"/>
              <w:left w:w="80" w:type="dxa"/>
              <w:bottom w:w="70" w:type="dxa"/>
              <w:right w:w="80" w:type="dxa"/>
            </w:tcMar>
            <w:vAlign w:val="center"/>
          </w:tcPr>
          <w:p w14:paraId="7B4C42E1" w14:textId="77777777" w:rsidR="00707C36" w:rsidRDefault="00EB2926">
            <w:pPr>
              <w:pStyle w:val="TableText"/>
            </w:pPr>
            <w:r>
              <w:t>P if and only if Q</w:t>
            </w:r>
          </w:p>
        </w:tc>
        <w:tc>
          <w:tcPr>
            <w:tcW w:w="2520" w:type="dxa"/>
            <w:tcMar>
              <w:top w:w="70" w:type="dxa"/>
              <w:left w:w="80" w:type="dxa"/>
              <w:bottom w:w="70" w:type="dxa"/>
              <w:right w:w="80" w:type="dxa"/>
            </w:tcMar>
            <w:vAlign w:val="center"/>
          </w:tcPr>
          <w:p w14:paraId="37AEA042" w14:textId="77777777" w:rsidR="00707C36" w:rsidRDefault="00EB2926">
            <w:pPr>
              <w:pStyle w:val="TableText"/>
              <w:jc w:val="center"/>
            </w:pPr>
            <w:r>
              <w:t>P ↔ Q</w:t>
            </w:r>
          </w:p>
        </w:tc>
        <w:tc>
          <w:tcPr>
            <w:tcW w:w="4608" w:type="dxa"/>
            <w:tcMar>
              <w:top w:w="70" w:type="dxa"/>
              <w:left w:w="80" w:type="dxa"/>
              <w:bottom w:w="70" w:type="dxa"/>
              <w:right w:w="80" w:type="dxa"/>
            </w:tcMar>
            <w:vAlign w:val="center"/>
          </w:tcPr>
          <w:p w14:paraId="4146DAD2" w14:textId="77777777" w:rsidR="00707C36" w:rsidRDefault="00EB2926">
            <w:pPr>
              <w:pStyle w:val="TableText"/>
            </w:pPr>
            <w:r>
              <w:t>Either mismatched case</w:t>
            </w:r>
          </w:p>
        </w:tc>
      </w:tr>
    </w:tbl>
    <w:p w14:paraId="412A7758" w14:textId="77777777" w:rsidR="00707C36" w:rsidRDefault="00707C36">
      <w:pPr>
        <w:pStyle w:val="Small"/>
      </w:pPr>
    </w:p>
    <w:tbl>
      <w:tblPr>
        <w:tblW w:w="0" w:type="auto"/>
        <w:jc w:val="center"/>
        <w:tblLayout w:type="fixed"/>
        <w:tblLook w:val="04A0" w:firstRow="1" w:lastRow="0" w:firstColumn="1" w:lastColumn="0" w:noHBand="0" w:noVBand="1"/>
      </w:tblPr>
      <w:tblGrid>
        <w:gridCol w:w="3096"/>
        <w:gridCol w:w="7416"/>
      </w:tblGrid>
      <w:tr w:rsidR="00707C36" w14:paraId="5BF0573C" w14:textId="77777777">
        <w:trPr>
          <w:cantSplit/>
          <w:tblHeader/>
          <w:jc w:val="center"/>
        </w:trPr>
        <w:tc>
          <w:tcPr>
            <w:tcW w:w="3096" w:type="dxa"/>
            <w:shd w:val="clear" w:color="auto" w:fill="E7E7E7"/>
            <w:tcMar>
              <w:top w:w="70" w:type="dxa"/>
              <w:left w:w="80" w:type="dxa"/>
              <w:bottom w:w="70" w:type="dxa"/>
              <w:right w:w="80" w:type="dxa"/>
            </w:tcMar>
            <w:vAlign w:val="center"/>
          </w:tcPr>
          <w:p w14:paraId="15315093" w14:textId="77777777" w:rsidR="00707C36" w:rsidRDefault="00EB2926">
            <w:pPr>
              <w:pStyle w:val="TableText"/>
            </w:pPr>
            <w:r>
              <w:rPr>
                <w:b/>
              </w:rPr>
              <w:t>Given P → Q and...</w:t>
            </w:r>
          </w:p>
        </w:tc>
        <w:tc>
          <w:tcPr>
            <w:tcW w:w="7416" w:type="dxa"/>
            <w:shd w:val="clear" w:color="auto" w:fill="E7E7E7"/>
            <w:tcMar>
              <w:top w:w="70" w:type="dxa"/>
              <w:left w:w="80" w:type="dxa"/>
              <w:bottom w:w="70" w:type="dxa"/>
              <w:right w:w="80" w:type="dxa"/>
            </w:tcMar>
            <w:vAlign w:val="center"/>
          </w:tcPr>
          <w:p w14:paraId="1FECD692" w14:textId="77777777" w:rsidR="00707C36" w:rsidRDefault="00EB2926">
            <w:pPr>
              <w:pStyle w:val="TableText"/>
            </w:pPr>
            <w:r>
              <w:rPr>
                <w:b/>
              </w:rPr>
              <w:t>What follows?</w:t>
            </w:r>
          </w:p>
        </w:tc>
      </w:tr>
      <w:tr w:rsidR="00707C36" w14:paraId="64E9B4F3" w14:textId="77777777">
        <w:trPr>
          <w:cantSplit/>
          <w:jc w:val="center"/>
        </w:trPr>
        <w:tc>
          <w:tcPr>
            <w:tcW w:w="3096" w:type="dxa"/>
            <w:tcMar>
              <w:top w:w="70" w:type="dxa"/>
              <w:left w:w="80" w:type="dxa"/>
              <w:bottom w:w="70" w:type="dxa"/>
              <w:right w:w="80" w:type="dxa"/>
            </w:tcMar>
            <w:vAlign w:val="center"/>
          </w:tcPr>
          <w:p w14:paraId="2E4F7B7B" w14:textId="77777777" w:rsidR="00707C36" w:rsidRDefault="00EB2926">
            <w:pPr>
              <w:pStyle w:val="TableText"/>
            </w:pPr>
            <w:r>
              <w:t>P</w:t>
            </w:r>
          </w:p>
        </w:tc>
        <w:tc>
          <w:tcPr>
            <w:tcW w:w="7416" w:type="dxa"/>
            <w:tcMar>
              <w:top w:w="70" w:type="dxa"/>
              <w:left w:w="80" w:type="dxa"/>
              <w:bottom w:w="70" w:type="dxa"/>
              <w:right w:w="80" w:type="dxa"/>
            </w:tcMar>
            <w:vAlign w:val="center"/>
          </w:tcPr>
          <w:p w14:paraId="3A40D9A0" w14:textId="77777777" w:rsidR="00707C36" w:rsidRDefault="00EB2926">
            <w:pPr>
              <w:pStyle w:val="TableText"/>
            </w:pPr>
            <w:r>
              <w:t>Q</w:t>
            </w:r>
          </w:p>
        </w:tc>
      </w:tr>
      <w:tr w:rsidR="00707C36" w14:paraId="4205A0F1" w14:textId="77777777">
        <w:trPr>
          <w:cantSplit/>
          <w:jc w:val="center"/>
        </w:trPr>
        <w:tc>
          <w:tcPr>
            <w:tcW w:w="3096" w:type="dxa"/>
            <w:tcMar>
              <w:top w:w="70" w:type="dxa"/>
              <w:left w:w="80" w:type="dxa"/>
              <w:bottom w:w="70" w:type="dxa"/>
              <w:right w:w="80" w:type="dxa"/>
            </w:tcMar>
            <w:vAlign w:val="center"/>
          </w:tcPr>
          <w:p w14:paraId="74CFC8B5" w14:textId="77777777" w:rsidR="00707C36" w:rsidRDefault="00EB2926">
            <w:pPr>
              <w:pStyle w:val="TableText"/>
            </w:pPr>
            <w:r>
              <w:t>not Q</w:t>
            </w:r>
          </w:p>
        </w:tc>
        <w:tc>
          <w:tcPr>
            <w:tcW w:w="7416" w:type="dxa"/>
            <w:tcMar>
              <w:top w:w="70" w:type="dxa"/>
              <w:left w:w="80" w:type="dxa"/>
              <w:bottom w:w="70" w:type="dxa"/>
              <w:right w:w="80" w:type="dxa"/>
            </w:tcMar>
            <w:vAlign w:val="center"/>
          </w:tcPr>
          <w:p w14:paraId="6253C050" w14:textId="77777777" w:rsidR="00707C36" w:rsidRDefault="00EB2926">
            <w:pPr>
              <w:pStyle w:val="TableText"/>
            </w:pPr>
            <w:r>
              <w:t>not P</w:t>
            </w:r>
          </w:p>
        </w:tc>
      </w:tr>
      <w:tr w:rsidR="00707C36" w14:paraId="6C84A15B" w14:textId="77777777">
        <w:trPr>
          <w:cantSplit/>
          <w:jc w:val="center"/>
        </w:trPr>
        <w:tc>
          <w:tcPr>
            <w:tcW w:w="3096" w:type="dxa"/>
            <w:tcMar>
              <w:top w:w="70" w:type="dxa"/>
              <w:left w:w="80" w:type="dxa"/>
              <w:bottom w:w="70" w:type="dxa"/>
              <w:right w:w="80" w:type="dxa"/>
            </w:tcMar>
            <w:vAlign w:val="center"/>
          </w:tcPr>
          <w:p w14:paraId="6CFC1C42" w14:textId="77777777" w:rsidR="00707C36" w:rsidRDefault="00EB2926">
            <w:pPr>
              <w:pStyle w:val="TableText"/>
            </w:pPr>
            <w:r>
              <w:t>Q</w:t>
            </w:r>
          </w:p>
        </w:tc>
        <w:tc>
          <w:tcPr>
            <w:tcW w:w="7416" w:type="dxa"/>
            <w:tcMar>
              <w:top w:w="70" w:type="dxa"/>
              <w:left w:w="80" w:type="dxa"/>
              <w:bottom w:w="70" w:type="dxa"/>
              <w:right w:w="80" w:type="dxa"/>
            </w:tcMar>
            <w:vAlign w:val="center"/>
          </w:tcPr>
          <w:p w14:paraId="1ED50099" w14:textId="77777777" w:rsidR="00707C36" w:rsidRDefault="00EB2926">
            <w:pPr>
              <w:pStyle w:val="TableText"/>
            </w:pPr>
            <w:r>
              <w:t>P remains open unless a reverse rule is also given</w:t>
            </w:r>
          </w:p>
        </w:tc>
      </w:tr>
      <w:tr w:rsidR="00707C36" w14:paraId="132C1973" w14:textId="77777777">
        <w:trPr>
          <w:cantSplit/>
          <w:jc w:val="center"/>
        </w:trPr>
        <w:tc>
          <w:tcPr>
            <w:tcW w:w="3096" w:type="dxa"/>
            <w:tcMar>
              <w:top w:w="70" w:type="dxa"/>
              <w:left w:w="80" w:type="dxa"/>
              <w:bottom w:w="70" w:type="dxa"/>
              <w:right w:w="80" w:type="dxa"/>
            </w:tcMar>
            <w:vAlign w:val="center"/>
          </w:tcPr>
          <w:p w14:paraId="372F0D9B" w14:textId="77777777" w:rsidR="00707C36" w:rsidRDefault="00EB2926">
            <w:pPr>
              <w:pStyle w:val="TableText"/>
            </w:pPr>
            <w:r>
              <w:t>not P</w:t>
            </w:r>
          </w:p>
        </w:tc>
        <w:tc>
          <w:tcPr>
            <w:tcW w:w="7416" w:type="dxa"/>
            <w:tcMar>
              <w:top w:w="70" w:type="dxa"/>
              <w:left w:w="80" w:type="dxa"/>
              <w:bottom w:w="70" w:type="dxa"/>
              <w:right w:w="80" w:type="dxa"/>
            </w:tcMar>
            <w:vAlign w:val="center"/>
          </w:tcPr>
          <w:p w14:paraId="2329BC5E" w14:textId="77777777" w:rsidR="00707C36" w:rsidRDefault="00EB2926">
            <w:pPr>
              <w:pStyle w:val="TableText"/>
            </w:pPr>
            <w:r>
              <w:t>Q remains open unless a reverse rule is also given</w:t>
            </w:r>
          </w:p>
        </w:tc>
      </w:tr>
    </w:tbl>
    <w:p w14:paraId="1DD90634" w14:textId="77777777" w:rsidR="00707C36" w:rsidRDefault="00EB2926">
      <w:pPr>
        <w:pStyle w:val="Callout"/>
      </w:pPr>
      <w:r>
        <w:rPr>
          <w:b/>
        </w:rPr>
        <w:t>One-sentence memory aid</w:t>
      </w:r>
      <w:r>
        <w:br/>
        <w:t>P → Q rules out P without Q. That is why P is enough for Q, Q is required for P, not Q rules out P, and Q by itself does not prove P.</w:t>
      </w:r>
    </w:p>
    <w:sectPr w:rsidR="00707C36" w:rsidSect="00034616">
      <w:headerReference w:type="default" r:id="rId12"/>
      <w:footerReference w:type="default" r:id="rId13"/>
      <w:pgSz w:w="12240" w:h="15840"/>
      <w:pgMar w:top="1080" w:right="1152" w:bottom="108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5C4AC" w14:textId="77777777" w:rsidR="00EB2926" w:rsidRDefault="00EB2926">
      <w:pPr>
        <w:spacing w:after="0" w:line="240" w:lineRule="auto"/>
      </w:pPr>
      <w:r>
        <w:separator/>
      </w:r>
    </w:p>
  </w:endnote>
  <w:endnote w:type="continuationSeparator" w:id="0">
    <w:p w14:paraId="2723BB2B" w14:textId="77777777" w:rsidR="00EB2926" w:rsidRDefault="00EB2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FDC3" w14:textId="77777777" w:rsidR="00176E2B" w:rsidRDefault="009E7B51">
    <w:pPr>
      <w:pStyle w:val="Small"/>
      <w:tabs>
        <w:tab w:val="right" w:pos="9936"/>
      </w:tabs>
    </w:pPr>
    <w:r>
      <w:t>PHIL 205 | Fall 2026</w:t>
    </w:r>
    <w:r>
      <w:tab/>
    </w:r>
    <w:r>
      <w:fldChar w:fldCharType="begin"/>
    </w:r>
    <w:r>
      <w:instrText>PAGE</w:instrText>
    </w:r>
    <w:r>
      <w:fldChar w:fldCharType="separate"/>
    </w:r>
    <w:r w:rsidR="00E548F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949A" w14:textId="77777777" w:rsidR="00EB2926" w:rsidRDefault="00EB2926">
      <w:pPr>
        <w:spacing w:after="0" w:line="240" w:lineRule="auto"/>
      </w:pPr>
      <w:r>
        <w:separator/>
      </w:r>
    </w:p>
  </w:footnote>
  <w:footnote w:type="continuationSeparator" w:id="0">
    <w:p w14:paraId="75900CF3" w14:textId="77777777" w:rsidR="00EB2926" w:rsidRDefault="00EB2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E7A4E" w14:textId="77777777" w:rsidR="00176E2B" w:rsidRDefault="009E7B51">
    <w:pPr>
      <w:pStyle w:val="Small"/>
      <w:pBdr>
        <w:bottom w:val="single" w:sz="4" w:space="4" w:color="808080"/>
      </w:pBdr>
      <w:spacing w:after="0"/>
    </w:pPr>
    <w:r>
      <w:t>PHIL 205 | What Does That Condition Let Us Conclude?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1784885">
    <w:abstractNumId w:val="8"/>
  </w:num>
  <w:num w:numId="2" w16cid:durableId="39595486">
    <w:abstractNumId w:val="6"/>
  </w:num>
  <w:num w:numId="3" w16cid:durableId="722362712">
    <w:abstractNumId w:val="5"/>
  </w:num>
  <w:num w:numId="4" w16cid:durableId="753279508">
    <w:abstractNumId w:val="4"/>
  </w:num>
  <w:num w:numId="5" w16cid:durableId="141850615">
    <w:abstractNumId w:val="7"/>
  </w:num>
  <w:num w:numId="6" w16cid:durableId="2132435064">
    <w:abstractNumId w:val="3"/>
  </w:num>
  <w:num w:numId="7" w16cid:durableId="1244754897">
    <w:abstractNumId w:val="2"/>
  </w:num>
  <w:num w:numId="8" w16cid:durableId="327368457">
    <w:abstractNumId w:val="1"/>
  </w:num>
  <w:num w:numId="9" w16cid:durableId="549533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6927"/>
    <w:rsid w:val="0012108B"/>
    <w:rsid w:val="0015074B"/>
    <w:rsid w:val="00176E2B"/>
    <w:rsid w:val="0029639D"/>
    <w:rsid w:val="00326F90"/>
    <w:rsid w:val="003F7A01"/>
    <w:rsid w:val="0042722C"/>
    <w:rsid w:val="00591CF1"/>
    <w:rsid w:val="0061512B"/>
    <w:rsid w:val="006A320F"/>
    <w:rsid w:val="00707C36"/>
    <w:rsid w:val="00850958"/>
    <w:rsid w:val="009E7B51"/>
    <w:rsid w:val="00AA1D8D"/>
    <w:rsid w:val="00B47730"/>
    <w:rsid w:val="00C253F8"/>
    <w:rsid w:val="00C26BB8"/>
    <w:rsid w:val="00CB0664"/>
    <w:rsid w:val="00D15D8B"/>
    <w:rsid w:val="00E548F0"/>
    <w:rsid w:val="00EB2926"/>
    <w:rsid w:val="00EF6C93"/>
    <w:rsid w:val="00F27955"/>
    <w:rsid w:val="00F46D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BA7530"/>
  <w14:defaultImageDpi w14:val="300"/>
  <w15:docId w15:val="{D86FA583-B1B2-4761-A2AA-693D3007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mbria Math" w:eastAsia="Cambria Math" w:hAnsi="Cambria Math" w:cs="Cambria Math"/>
      <w:color w:val="000000"/>
      <w:sz w:val="24"/>
    </w:rPr>
  </w:style>
  <w:style w:type="paragraph" w:styleId="Heading1">
    <w:name w:val="heading 1"/>
    <w:basedOn w:val="Normal"/>
    <w:next w:val="Normal"/>
    <w:link w:val="Heading1Char"/>
    <w:uiPriority w:val="9"/>
    <w:qFormat/>
    <w:rsid w:val="00FC693F"/>
    <w:pPr>
      <w:keepNext/>
      <w:keepLines/>
      <w:spacing w:before="220" w:line="247" w:lineRule="auto"/>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20" w:line="247" w:lineRule="auto"/>
      <w:outlineLvl w:val="1"/>
    </w:pPr>
    <w:rPr>
      <w:b/>
      <w:bCs/>
      <w:sz w:val="28"/>
      <w:szCs w:val="26"/>
    </w:rPr>
  </w:style>
  <w:style w:type="paragraph" w:styleId="Heading3">
    <w:name w:val="heading 3"/>
    <w:basedOn w:val="Normal"/>
    <w:next w:val="Normal"/>
    <w:link w:val="Heading3Char"/>
    <w:uiPriority w:val="9"/>
    <w:unhideWhenUsed/>
    <w:qFormat/>
    <w:rsid w:val="00FC693F"/>
    <w:pPr>
      <w:keepNext/>
      <w:keepLines/>
      <w:spacing w:before="220" w:line="247" w:lineRule="auto"/>
      <w:outlineLvl w:val="2"/>
    </w:pPr>
    <w:rPr>
      <w:b/>
      <w:bCs/>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line="247" w:lineRule="auto"/>
      <w:contextualSpacing/>
    </w:pPr>
    <w:rPr>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line="247" w:lineRule="auto"/>
    </w:pPr>
    <w:rPr>
      <w:iCs/>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se">
    <w:name w:val="Case"/>
    <w:basedOn w:val="Normal"/>
    <w:pPr>
      <w:keepLines/>
      <w:spacing w:before="80" w:after="160"/>
      <w:ind w:left="259" w:right="259"/>
    </w:pPr>
    <w:rPr>
      <w:i/>
    </w:rPr>
  </w:style>
  <w:style w:type="paragraph" w:customStyle="1" w:styleId="Callout">
    <w:name w:val="Callout"/>
    <w:basedOn w:val="Normal"/>
  </w:style>
  <w:style w:type="paragraph" w:customStyle="1" w:styleId="Small">
    <w:name w:val="Small"/>
    <w:basedOn w:val="Normal"/>
    <w:pPr>
      <w:spacing w:line="240" w:lineRule="auto"/>
    </w:pPr>
    <w:rPr>
      <w:sz w:val="20"/>
    </w:rPr>
  </w:style>
  <w:style w:type="paragraph" w:customStyle="1" w:styleId="TableText">
    <w:name w:val="Table Text"/>
    <w:basedOn w:val="Normal"/>
    <w:pPr>
      <w:spacing w:before="60" w:after="60" w:line="240" w:lineRule="auto"/>
    </w:pPr>
  </w:style>
  <w:style w:type="paragraph" w:customStyle="1" w:styleId="Exercise">
    <w:name w:val="Exercise"/>
    <w:basedOn w:val="Normal"/>
    <w:pPr>
      <w:keepNext/>
    </w:pPr>
  </w:style>
  <w:style w:type="paragraph" w:customStyle="1" w:styleId="AnswerSpace">
    <w:name w:val="Answer Space"/>
    <w:basedOn w:val="Normal"/>
    <w:pPr>
      <w:keepLines/>
      <w:spacing w:after="0" w:line="36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justia.com/cases/texas/eighth-court-of-appeals/2016/08-14-00047-cr.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ent.govdelivery.com/attachments/NCSBE/2020/10/21/file_attachments/1576598/SLD%20Fact%20Sheet%20%2310_FAQ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tes.ed.gov/idea/files/osep11-07rtimemo.pdf" TargetMode="External"/><Relationship Id="rId4" Type="http://schemas.openxmlformats.org/officeDocument/2006/relationships/settings" Target="settings.xml"/><Relationship Id="rId9" Type="http://schemas.openxmlformats.org/officeDocument/2006/relationships/hyperlink" Target="https://www.casb.uscourts.gov/sites/casb/files/documents/opinions/17-90104.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5697</Words>
  <Characters>32477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 205 - What Does That Condition Let Us Conclude? (Student-Friendly Revision)</dc:title>
  <dc:subject>Learning Target 3: Conditional reasoning</dc:subject>
  <dc:creator>Kali Milner</dc:creator>
  <cp:keywords>conditional reasoning; truth tables; necessary; sufficient; diagnostic questions; PHIL 205</cp:keywords>
  <dc:description>Student handout. Truth tables are thinking aids; the assessed performance is diagnosis and explanation.</dc:description>
  <cp:lastModifiedBy>Kali Milner</cp:lastModifiedBy>
  <cp:revision>14</cp:revision>
  <dcterms:created xsi:type="dcterms:W3CDTF">2026-09-21T14:59:00Z</dcterms:created>
  <dcterms:modified xsi:type="dcterms:W3CDTF">2026-09-21T15:23:00Z</dcterms:modified>
  <cp:category/>
</cp:coreProperties>
</file>